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BDA0" w14:textId="77A59735" w:rsidR="009D287D" w:rsidRPr="00484DBF" w:rsidRDefault="009D287D" w:rsidP="009D287D">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ED6396">
        <w:rPr>
          <w:noProof w:val="0"/>
          <w:sz w:val="24"/>
          <w:szCs w:val="24"/>
        </w:rPr>
        <w:t>7</w:t>
      </w:r>
      <w:r w:rsidRPr="0D18D305">
        <w:rPr>
          <w:noProof w:val="0"/>
          <w:sz w:val="24"/>
          <w:szCs w:val="24"/>
        </w:rPr>
        <w:t>-e</w:t>
      </w:r>
      <w:r>
        <w:tab/>
      </w:r>
      <w:r w:rsidRPr="0D18D305">
        <w:rPr>
          <w:noProof w:val="0"/>
          <w:sz w:val="24"/>
          <w:szCs w:val="24"/>
        </w:rPr>
        <w:t>R3-</w:t>
      </w:r>
      <w:r w:rsidRPr="00637E7A">
        <w:rPr>
          <w:noProof w:val="0"/>
          <w:sz w:val="24"/>
          <w:szCs w:val="24"/>
        </w:rPr>
        <w:t>2</w:t>
      </w:r>
      <w:r>
        <w:rPr>
          <w:noProof w:val="0"/>
          <w:sz w:val="24"/>
          <w:szCs w:val="24"/>
        </w:rPr>
        <w:t>2</w:t>
      </w:r>
      <w:r w:rsidR="00A3043F">
        <w:rPr>
          <w:noProof w:val="0"/>
          <w:sz w:val="24"/>
          <w:szCs w:val="24"/>
        </w:rPr>
        <w:t>4379</w:t>
      </w:r>
    </w:p>
    <w:bookmarkEnd w:id="0"/>
    <w:p w14:paraId="328C958B" w14:textId="2FEC5B91" w:rsidR="009D287D" w:rsidRPr="00484DBF" w:rsidRDefault="009443C0" w:rsidP="009D287D">
      <w:pPr>
        <w:pStyle w:val="Header"/>
        <w:tabs>
          <w:tab w:val="left" w:pos="2410"/>
        </w:tabs>
        <w:rPr>
          <w:rFonts w:eastAsia="MS Mincho"/>
          <w:sz w:val="24"/>
          <w:szCs w:val="24"/>
        </w:rPr>
      </w:pPr>
      <w:r>
        <w:rPr>
          <w:rFonts w:eastAsia="MS Mincho"/>
          <w:sz w:val="24"/>
          <w:szCs w:val="24"/>
        </w:rPr>
        <w:t>15</w:t>
      </w:r>
      <w:r w:rsidR="009D287D" w:rsidRPr="00843AA9">
        <w:rPr>
          <w:rFonts w:eastAsia="MS Mincho"/>
          <w:sz w:val="24"/>
          <w:szCs w:val="24"/>
        </w:rPr>
        <w:t xml:space="preserve"> – </w:t>
      </w:r>
      <w:r>
        <w:rPr>
          <w:rFonts w:eastAsia="MS Mincho"/>
          <w:sz w:val="24"/>
          <w:szCs w:val="24"/>
        </w:rPr>
        <w:t>25</w:t>
      </w:r>
      <w:r w:rsidR="009D287D" w:rsidRPr="00843AA9">
        <w:rPr>
          <w:rFonts w:eastAsia="MS Mincho"/>
          <w:sz w:val="24"/>
          <w:szCs w:val="24"/>
        </w:rPr>
        <w:t xml:space="preserve"> </w:t>
      </w:r>
      <w:r>
        <w:rPr>
          <w:rFonts w:eastAsia="MS Mincho"/>
          <w:sz w:val="24"/>
          <w:szCs w:val="24"/>
        </w:rPr>
        <w:t>August</w:t>
      </w:r>
      <w:r w:rsidR="009D287D" w:rsidRPr="00843AA9">
        <w:rPr>
          <w:rFonts w:eastAsia="MS Mincho"/>
          <w:sz w:val="24"/>
          <w:szCs w:val="24"/>
        </w:rPr>
        <w:t xml:space="preserve"> 2022</w:t>
      </w:r>
    </w:p>
    <w:p w14:paraId="2B59E820" w14:textId="77777777" w:rsidR="00952130" w:rsidRPr="00B266B0" w:rsidRDefault="00952130" w:rsidP="00952130">
      <w:pPr>
        <w:pStyle w:val="Header"/>
        <w:rPr>
          <w:bCs w:val="0"/>
          <w:noProof w:val="0"/>
          <w:sz w:val="24"/>
        </w:rPr>
      </w:pPr>
    </w:p>
    <w:p w14:paraId="332AEB71" w14:textId="09637DD5"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548C">
        <w:rPr>
          <w:rFonts w:cs="Arial"/>
          <w:b/>
          <w:bCs/>
          <w:sz w:val="24"/>
          <w:lang w:eastAsia="ja-JP"/>
        </w:rPr>
        <w:t>13.4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5C91AB0"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9443C0">
        <w:rPr>
          <w:rFonts w:cs="Arial"/>
          <w:b/>
          <w:bCs/>
          <w:sz w:val="24"/>
        </w:rPr>
        <w:t>I</w:t>
      </w:r>
      <w:r w:rsidR="00E5179D">
        <w:rPr>
          <w:rFonts w:cs="Arial"/>
          <w:b/>
          <w:bCs/>
          <w:sz w:val="24"/>
        </w:rPr>
        <w:t>nterference mitigation</w:t>
      </w:r>
      <w:r w:rsidR="00C72D24">
        <w:rPr>
          <w:rFonts w:cs="Arial"/>
          <w:b/>
          <w:bCs/>
          <w:sz w:val="24"/>
        </w:rPr>
        <w:t xml:space="preserve"> for mobile IAB</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4BC853B0" w14:textId="3D3DB284" w:rsidR="00162072" w:rsidRDefault="00E86720" w:rsidP="009443C0">
      <w:pPr>
        <w:spacing w:after="180"/>
        <w:jc w:val="left"/>
      </w:pPr>
      <w:r>
        <w:t xml:space="preserve">The agreed WID </w:t>
      </w:r>
      <w:r w:rsidR="002700A9">
        <w:t xml:space="preserve">[1] </w:t>
      </w:r>
      <w:r>
        <w:t>defines the scope of Rel.18 as follows:</w:t>
      </w:r>
    </w:p>
    <w:p w14:paraId="77842102" w14:textId="77777777" w:rsidR="00E86720" w:rsidRPr="00E86720" w:rsidRDefault="00E86720" w:rsidP="00E86720">
      <w:pPr>
        <w:pStyle w:val="maintext"/>
        <w:spacing w:before="0" w:after="0" w:line="240" w:lineRule="auto"/>
        <w:ind w:left="360" w:firstLineChars="0" w:firstLine="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In Rel-18, mobile IAB supports the following functionality, applicable to FR1 and FR2:</w:t>
      </w:r>
    </w:p>
    <w:p w14:paraId="22F34642" w14:textId="77777777" w:rsidR="00E86720" w:rsidRPr="00E86720" w:rsidRDefault="00E86720" w:rsidP="00E86720">
      <w:pPr>
        <w:pStyle w:val="maintext"/>
        <w:numPr>
          <w:ilvl w:val="0"/>
          <w:numId w:val="27"/>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In-band and out-of-band backhauling.</w:t>
      </w:r>
    </w:p>
    <w:p w14:paraId="69DB279E" w14:textId="77777777" w:rsidR="00E86720" w:rsidRPr="00E86720" w:rsidRDefault="00E86720" w:rsidP="00E86720">
      <w:pPr>
        <w:pStyle w:val="maintext"/>
        <w:numPr>
          <w:ilvl w:val="0"/>
          <w:numId w:val="27"/>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The mobile IAB-node should have no descendent IAB-nodes, i.e., it serves only UEs.</w:t>
      </w:r>
    </w:p>
    <w:p w14:paraId="06189120" w14:textId="0CCAA30D" w:rsidR="00E86720" w:rsidRPr="00E86720" w:rsidRDefault="00E86720" w:rsidP="00E86720">
      <w:pPr>
        <w:pStyle w:val="maintext"/>
        <w:numPr>
          <w:ilvl w:val="0"/>
          <w:numId w:val="27"/>
        </w:numPr>
        <w:spacing w:before="0" w:after="120" w:line="240" w:lineRule="auto"/>
        <w:ind w:left="1077" w:firstLineChars="0" w:hanging="357"/>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Solutions should support UE HO and DC.</w:t>
      </w:r>
    </w:p>
    <w:p w14:paraId="04E18ABC" w14:textId="7F29EA90" w:rsidR="00E86720" w:rsidRPr="00E86720" w:rsidRDefault="00E86720" w:rsidP="00E86720">
      <w:pPr>
        <w:pStyle w:val="maintext"/>
        <w:spacing w:before="0" w:after="0" w:line="240" w:lineRule="auto"/>
        <w:ind w:left="360" w:firstLineChars="0" w:firstLine="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The detailed objectives of the WI are listed as follows:</w:t>
      </w:r>
    </w:p>
    <w:p w14:paraId="5B93F2EF" w14:textId="77777777" w:rsidR="00E86720" w:rsidRPr="00E86720" w:rsidRDefault="00E86720" w:rsidP="00E86720">
      <w:pPr>
        <w:pStyle w:val="maintext"/>
        <w:numPr>
          <w:ilvl w:val="0"/>
          <w:numId w:val="26"/>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Define Procedures for migration/topology adaptation to enable IAB-node mobility, including inter-donor migration of the entire mobile IAB-node (full migration) [RAN3, RAN2]</w:t>
      </w:r>
    </w:p>
    <w:p w14:paraId="55DBB435" w14:textId="77777777" w:rsidR="00E86720" w:rsidRPr="00E86720" w:rsidRDefault="00E86720" w:rsidP="00E86720">
      <w:pPr>
        <w:pStyle w:val="maintext"/>
        <w:numPr>
          <w:ilvl w:val="0"/>
          <w:numId w:val="26"/>
        </w:numPr>
        <w:spacing w:before="0" w:after="0" w:line="240" w:lineRule="auto"/>
        <w:ind w:left="1080" w:firstLineChars="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 xml:space="preserve">Enhancements for mobility of an IAB-node together with </w:t>
      </w:r>
      <w:proofErr w:type="gramStart"/>
      <w:r w:rsidRPr="00E86720">
        <w:rPr>
          <w:rFonts w:ascii="Calibri" w:eastAsia="Times New Roman" w:hAnsi="Calibri" w:cs="Calibri"/>
          <w:i/>
          <w:iCs/>
          <w:sz w:val="22"/>
          <w:szCs w:val="22"/>
          <w:lang w:eastAsia="en-US"/>
        </w:rPr>
        <w:t>its</w:t>
      </w:r>
      <w:proofErr w:type="gramEnd"/>
      <w:r w:rsidRPr="00E86720">
        <w:rPr>
          <w:rFonts w:ascii="Calibri" w:eastAsia="Times New Roman" w:hAnsi="Calibri" w:cs="Calibri"/>
          <w:i/>
          <w:iCs/>
          <w:sz w:val="22"/>
          <w:szCs w:val="22"/>
          <w:lang w:eastAsia="en-US"/>
        </w:rPr>
        <w:t xml:space="preserve"> served UEs, including aspects related to group mobility. No optimizations for the targeting of surrounding UEs. [RAN3, RAN2]</w:t>
      </w:r>
    </w:p>
    <w:p w14:paraId="689D38FB" w14:textId="77777777" w:rsidR="00E86720" w:rsidRPr="00E86720" w:rsidRDefault="00E86720" w:rsidP="00E86720">
      <w:pPr>
        <w:pStyle w:val="maintext"/>
        <w:spacing w:before="0" w:after="0" w:line="240" w:lineRule="auto"/>
        <w:ind w:left="1080" w:firstLineChars="0" w:firstLine="0"/>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Note: Solutions should avoid touching upon topics where Rel-17 discussions already occurred and where the topic was excluded from Rel-17, except for enhancements that are specific to IAB-node mobility.</w:t>
      </w:r>
    </w:p>
    <w:p w14:paraId="7C39D848" w14:textId="61DA384A" w:rsidR="00E86720" w:rsidRPr="00801F95" w:rsidRDefault="00E86720" w:rsidP="00801F95">
      <w:pPr>
        <w:pStyle w:val="maintext"/>
        <w:numPr>
          <w:ilvl w:val="0"/>
          <w:numId w:val="26"/>
        </w:numPr>
        <w:spacing w:before="0" w:after="240" w:line="240" w:lineRule="auto"/>
        <w:ind w:left="1077" w:firstLineChars="0" w:hanging="357"/>
        <w:rPr>
          <w:rFonts w:ascii="Calibri" w:eastAsia="Times New Roman" w:hAnsi="Calibri" w:cs="Calibri"/>
          <w:i/>
          <w:iCs/>
          <w:sz w:val="22"/>
          <w:szCs w:val="22"/>
          <w:lang w:eastAsia="en-US"/>
        </w:rPr>
      </w:pPr>
      <w:r w:rsidRPr="00E86720">
        <w:rPr>
          <w:rFonts w:ascii="Calibri" w:eastAsia="Times New Roman" w:hAnsi="Calibri" w:cs="Calibri"/>
          <w:i/>
          <w:iCs/>
          <w:sz w:val="22"/>
          <w:szCs w:val="22"/>
          <w:lang w:eastAsia="en-US"/>
        </w:rPr>
        <w:t>Mitigation of interference due to IAB-node mobility, including the avoidance of potential reference and control signal collisions (</w:t>
      </w:r>
      <w:proofErr w:type="gramStart"/>
      <w:r w:rsidRPr="00E86720">
        <w:rPr>
          <w:rFonts w:ascii="Calibri" w:eastAsia="Times New Roman" w:hAnsi="Calibri" w:cs="Calibri"/>
          <w:i/>
          <w:iCs/>
          <w:sz w:val="22"/>
          <w:szCs w:val="22"/>
          <w:lang w:eastAsia="en-US"/>
        </w:rPr>
        <w:t>e.g.</w:t>
      </w:r>
      <w:proofErr w:type="gramEnd"/>
      <w:r w:rsidRPr="00E86720">
        <w:rPr>
          <w:rFonts w:ascii="Calibri" w:eastAsia="Times New Roman" w:hAnsi="Calibri" w:cs="Calibri"/>
          <w:i/>
          <w:iCs/>
          <w:sz w:val="22"/>
          <w:szCs w:val="22"/>
          <w:lang w:eastAsia="en-US"/>
        </w:rPr>
        <w:t xml:space="preserve"> PCI, RACH). [RAN3, RAN2]</w:t>
      </w:r>
    </w:p>
    <w:p w14:paraId="23AF1DA7" w14:textId="29D8BF41" w:rsidR="00E86720" w:rsidRDefault="0062712A" w:rsidP="009443C0">
      <w:pPr>
        <w:spacing w:after="180"/>
        <w:jc w:val="left"/>
      </w:pPr>
      <w:r>
        <w:t>T</w:t>
      </w:r>
      <w:r w:rsidR="00E86720">
        <w:t xml:space="preserve">his document </w:t>
      </w:r>
      <w:r>
        <w:t>focuses on issues related to potential interference scenarios resulted in IAB mobility i.e., issues related to the last objective in the WID.</w:t>
      </w:r>
    </w:p>
    <w:p w14:paraId="3E5215A7" w14:textId="6E158819" w:rsidR="009443C0" w:rsidRDefault="009443C0">
      <w:pPr>
        <w:overflowPunct/>
        <w:autoSpaceDE/>
        <w:autoSpaceDN/>
        <w:adjustRightInd/>
        <w:spacing w:after="0"/>
        <w:jc w:val="left"/>
        <w:textAlignment w:val="auto"/>
      </w:pPr>
    </w:p>
    <w:p w14:paraId="37869C79" w14:textId="7EC013BD" w:rsidR="009443C0" w:rsidRDefault="00E86720" w:rsidP="009443C0">
      <w:pPr>
        <w:pStyle w:val="Heading1"/>
      </w:pPr>
      <w:r>
        <w:t>Discussion</w:t>
      </w:r>
    </w:p>
    <w:p w14:paraId="5E3A54D7" w14:textId="4D2E3DE4" w:rsidR="002700A9" w:rsidRDefault="002700A9" w:rsidP="002700A9">
      <w:pPr>
        <w:pStyle w:val="Heading2"/>
      </w:pPr>
      <w:r>
        <w:t xml:space="preserve">2.1 </w:t>
      </w:r>
      <w:r w:rsidR="00A602CF">
        <w:t>PCI management</w:t>
      </w:r>
    </w:p>
    <w:p w14:paraId="56A73196" w14:textId="76CEECEC" w:rsidR="00E5179D" w:rsidRDefault="002700A9" w:rsidP="00801F95">
      <w:pPr>
        <w:pStyle w:val="Heading2"/>
      </w:pPr>
      <w:r>
        <w:t>2.</w:t>
      </w:r>
      <w:r w:rsidR="00A602CF">
        <w:t>1.1</w:t>
      </w:r>
      <w:r>
        <w:t xml:space="preserve"> </w:t>
      </w:r>
      <w:r w:rsidR="00A602CF">
        <w:t>Avoidance of PCI collision</w:t>
      </w:r>
    </w:p>
    <w:p w14:paraId="5E70839F" w14:textId="4E407B43" w:rsidR="00A602CF" w:rsidRDefault="00A602CF" w:rsidP="00A602CF">
      <w:r>
        <w:t xml:space="preserve">IAB-nodes serve cells the same way as </w:t>
      </w:r>
      <w:proofErr w:type="spellStart"/>
      <w:r>
        <w:t>gNBs</w:t>
      </w:r>
      <w:proofErr w:type="spellEnd"/>
      <w:r>
        <w:t xml:space="preserve"> and for UEs those should not differ from cell of stationary </w:t>
      </w:r>
      <w:proofErr w:type="spellStart"/>
      <w:r>
        <w:t>gNBs</w:t>
      </w:r>
      <w:proofErr w:type="spellEnd"/>
      <w:r>
        <w:t xml:space="preserve">. The physical cell IDs (PCIs) in a static network are allocated in the way that the same PCI is not allocated to adjacent cells, and preferably not to cells with only one other cell (with other PCI) in between. By this, UEs will </w:t>
      </w:r>
      <w:r w:rsidR="00E772CE">
        <w:t xml:space="preserve">be able to distinguish cells in </w:t>
      </w:r>
      <w:r>
        <w:t xml:space="preserve">the </w:t>
      </w:r>
      <w:r w:rsidR="00E772CE">
        <w:t xml:space="preserve">RRM </w:t>
      </w:r>
      <w:r>
        <w:t>measurements</w:t>
      </w:r>
      <w:r w:rsidR="00E772CE">
        <w:t>.</w:t>
      </w:r>
    </w:p>
    <w:p w14:paraId="4F2914DD" w14:textId="1AC5A697" w:rsidR="00E772CE" w:rsidRDefault="00E772CE" w:rsidP="00A602CF">
      <w:r>
        <w:t>The situation changes when IAB-nodes are moving. The neighbour cells of the mobile IAB-node will change and</w:t>
      </w:r>
      <w:r w:rsidR="00BD4AF3">
        <w:t>, if no mobile IAB specific allocations done,</w:t>
      </w:r>
      <w:r>
        <w:t xml:space="preserve"> there </w:t>
      </w:r>
      <w:r w:rsidR="00BD4AF3">
        <w:t xml:space="preserve">will be </w:t>
      </w:r>
      <w:r>
        <w:t>no guarantees that the IAB cell PCI would not collide with the PCI</w:t>
      </w:r>
      <w:r w:rsidR="00BD4AF3">
        <w:t>s</w:t>
      </w:r>
      <w:r>
        <w:t xml:space="preserve"> of the fixed cell</w:t>
      </w:r>
      <w:r w:rsidR="00BD4AF3">
        <w:t>s</w:t>
      </w:r>
      <w:r>
        <w:t>.</w:t>
      </w:r>
      <w:r w:rsidR="00BD4AF3">
        <w:t xml:space="preserve"> However, a straightforward way of solving the issue would be to define a PCI code space dedicated to mobile IAB</w:t>
      </w:r>
      <w:r w:rsidR="00606094">
        <w:t>-node</w:t>
      </w:r>
      <w:r w:rsidR="00BD4AF3">
        <w:t>s. This allows normal PCI allocations to fixed nodes (with reduced number of PCI codes</w:t>
      </w:r>
      <w:r w:rsidR="00606094">
        <w:t>, though</w:t>
      </w:r>
      <w:r w:rsidR="00BD4AF3">
        <w:t>) while allowing free movement of mobile IAB-nodes without the risk for PCI collision with fixed cells.</w:t>
      </w:r>
    </w:p>
    <w:p w14:paraId="39A2464D" w14:textId="20A4B63A" w:rsidR="00BD4AF3" w:rsidRPr="006D78B9" w:rsidRDefault="00BD4AF3" w:rsidP="00A602CF">
      <w:pPr>
        <w:rPr>
          <w:b/>
          <w:bCs/>
        </w:rPr>
      </w:pPr>
      <w:r w:rsidRPr="006D78B9">
        <w:rPr>
          <w:b/>
          <w:bCs/>
        </w:rPr>
        <w:t>Observation 1. With dedicated PCIs for mobile IAB-nodes, PCI collision with fixed cells can be avoided.</w:t>
      </w:r>
    </w:p>
    <w:p w14:paraId="6C4DD641" w14:textId="7C659E17" w:rsidR="006D78B9" w:rsidRDefault="00BD4AF3" w:rsidP="00A602CF">
      <w:r>
        <w:lastRenderedPageBreak/>
        <w:t xml:space="preserve">The split of PCIs between fixed and mobile cells does not prevent the possibility of PCI collision between mobile IAB-nodes. </w:t>
      </w:r>
      <w:r w:rsidR="00E737F5">
        <w:t>Depending on the use case, collisions may be rare o</w:t>
      </w:r>
      <w:r w:rsidR="00113F75">
        <w:t>r</w:t>
      </w:r>
      <w:r w:rsidR="00E737F5">
        <w:t xml:space="preserve"> could be even avoided and no enhancements would be needed. On the other hand, the number of PCIs dedicated for mobile IAB cells could be small which would increase the probability of PCI collisions especially in scenarios with free IAB-node movement.</w:t>
      </w:r>
    </w:p>
    <w:p w14:paraId="7A6D0BB4" w14:textId="2B94B2E4" w:rsidR="006D78B9" w:rsidRPr="006D78B9" w:rsidRDefault="006D78B9" w:rsidP="00A602CF">
      <w:pPr>
        <w:rPr>
          <w:b/>
          <w:bCs/>
        </w:rPr>
      </w:pPr>
      <w:r w:rsidRPr="006D78B9">
        <w:rPr>
          <w:b/>
          <w:bCs/>
        </w:rPr>
        <w:t>Observation 2. The probability of PCI collision between mobile IAB-nodes depend</w:t>
      </w:r>
      <w:r w:rsidR="005D689A">
        <w:rPr>
          <w:b/>
          <w:bCs/>
        </w:rPr>
        <w:t>s</w:t>
      </w:r>
      <w:r w:rsidRPr="006D78B9">
        <w:rPr>
          <w:b/>
          <w:bCs/>
        </w:rPr>
        <w:t xml:space="preserve"> o</w:t>
      </w:r>
      <w:r w:rsidR="00F83EBD">
        <w:rPr>
          <w:b/>
          <w:bCs/>
        </w:rPr>
        <w:t>n</w:t>
      </w:r>
      <w:r w:rsidRPr="006D78B9">
        <w:rPr>
          <w:b/>
          <w:bCs/>
        </w:rPr>
        <w:t xml:space="preserve"> the use case and deployment scenario.</w:t>
      </w:r>
    </w:p>
    <w:p w14:paraId="69EF913B" w14:textId="420C9986" w:rsidR="00BD4AF3" w:rsidRDefault="00E737F5" w:rsidP="00A602CF">
      <w:r>
        <w:t xml:space="preserve">The remedy of a collision would be to change the PCI of </w:t>
      </w:r>
      <w:r w:rsidR="00CB22FB">
        <w:t xml:space="preserve">one of </w:t>
      </w:r>
      <w:r>
        <w:t xml:space="preserve">the colliding </w:t>
      </w:r>
      <w:r w:rsidR="00B4251E">
        <w:t xml:space="preserve">mobile IAB </w:t>
      </w:r>
      <w:r>
        <w:t xml:space="preserve">cells. That would have impact to UEs connected to the </w:t>
      </w:r>
      <w:r w:rsidR="001F7203">
        <w:t xml:space="preserve">mobile </w:t>
      </w:r>
      <w:r>
        <w:t xml:space="preserve">IAB-node that has to change the PCI. UEs should be handed over to the new cell (with new PCI) served by the same </w:t>
      </w:r>
      <w:r w:rsidR="006D78B9">
        <w:t xml:space="preserve">IAB-node. Hence, </w:t>
      </w:r>
      <w:r w:rsidR="00036120">
        <w:t xml:space="preserve">this would result in </w:t>
      </w:r>
      <w:r w:rsidR="006D78B9">
        <w:t>a service interruption of some duration and potentially RLFs if the procedure for the PCI change would not be fast enough.</w:t>
      </w:r>
    </w:p>
    <w:p w14:paraId="6979CAF5" w14:textId="2A7DA8E5" w:rsidR="006D78B9" w:rsidRPr="001D371B" w:rsidRDefault="006D78B9" w:rsidP="00A602CF">
      <w:pPr>
        <w:rPr>
          <w:b/>
          <w:bCs/>
        </w:rPr>
      </w:pPr>
      <w:r w:rsidRPr="5CFFA20A">
        <w:rPr>
          <w:b/>
          <w:bCs/>
        </w:rPr>
        <w:t xml:space="preserve">Observation 3. The remedy of PCI collision between mobile IAB-nodes would </w:t>
      </w:r>
      <w:r w:rsidR="00036120" w:rsidRPr="5CFFA20A">
        <w:rPr>
          <w:b/>
          <w:bCs/>
        </w:rPr>
        <w:t>need PCI change of an active cell of a mobile IAB-node affecting the UEs connected to it.</w:t>
      </w:r>
    </w:p>
    <w:p w14:paraId="5C8331F1" w14:textId="4F970F01" w:rsidR="00036120" w:rsidRDefault="001D371B" w:rsidP="00A602CF">
      <w:r>
        <w:t>Whether any optimization is needed for the PCI change depends on the assumed probability of collisions. This is something to be assessed in the WI.</w:t>
      </w:r>
    </w:p>
    <w:p w14:paraId="71277E70" w14:textId="5D606CAC" w:rsidR="001D371B" w:rsidRPr="001D371B" w:rsidRDefault="001D371B" w:rsidP="00A602CF">
      <w:pPr>
        <w:rPr>
          <w:b/>
          <w:bCs/>
        </w:rPr>
      </w:pPr>
      <w:r w:rsidRPr="001D371B">
        <w:rPr>
          <w:b/>
          <w:bCs/>
        </w:rPr>
        <w:t xml:space="preserve">Proposal </w:t>
      </w:r>
      <w:r w:rsidR="00A91E65">
        <w:rPr>
          <w:b/>
          <w:bCs/>
        </w:rPr>
        <w:t>1</w:t>
      </w:r>
      <w:r w:rsidRPr="001D371B">
        <w:rPr>
          <w:b/>
          <w:bCs/>
        </w:rPr>
        <w:t>. RAN3 to assess if any optimization is needed for the PCI change procedure aiming to avoid PCI collision between mobile IAB-nodes.</w:t>
      </w:r>
    </w:p>
    <w:p w14:paraId="3FDB2804" w14:textId="77777777" w:rsidR="00A602CF" w:rsidRPr="00A602CF" w:rsidRDefault="00A602CF" w:rsidP="00A602CF"/>
    <w:p w14:paraId="3FA090BD" w14:textId="17A3DB7B" w:rsidR="00801F95" w:rsidRDefault="00801F95" w:rsidP="00801F95">
      <w:pPr>
        <w:pStyle w:val="Heading2"/>
      </w:pPr>
      <w:r>
        <w:t>2.</w:t>
      </w:r>
      <w:r w:rsidR="00626B6C">
        <w:t>1.2</w:t>
      </w:r>
      <w:r>
        <w:t xml:space="preserve"> </w:t>
      </w:r>
      <w:r w:rsidR="00697FC4">
        <w:t>PCI allocation in full migration</w:t>
      </w:r>
    </w:p>
    <w:p w14:paraId="630C635D" w14:textId="2CF0675B" w:rsidR="008563B7" w:rsidRDefault="008563B7" w:rsidP="00C7556E">
      <w:pPr>
        <w:overflowPunct/>
        <w:autoSpaceDE/>
        <w:autoSpaceDN/>
        <w:adjustRightInd/>
        <w:spacing w:after="0"/>
        <w:jc w:val="left"/>
        <w:textAlignment w:val="auto"/>
      </w:pPr>
      <w:r>
        <w:t>As much as discussed in Rel.17, the main assumption was that IAB full migration would use two logical DUs</w:t>
      </w:r>
    </w:p>
    <w:p w14:paraId="1353AA00" w14:textId="31C51775" w:rsidR="008D6A27" w:rsidRDefault="00F43CF4" w:rsidP="00C72D24">
      <w:pPr>
        <w:overflowPunct/>
        <w:autoSpaceDE/>
        <w:autoSpaceDN/>
        <w:adjustRightInd/>
        <w:textAlignment w:val="auto"/>
      </w:pPr>
      <w:r>
        <w:t xml:space="preserve">to </w:t>
      </w:r>
      <w:r w:rsidR="008563B7">
        <w:t xml:space="preserve">facilitate smooth transfer of UEs to the new cell served by the other DU. </w:t>
      </w:r>
      <w:r w:rsidR="005C6D68">
        <w:t xml:space="preserve">In normal case, the PCI(s) for the IAB-DU cell(s) can be allocated by </w:t>
      </w:r>
      <w:r w:rsidR="00FC0C01">
        <w:t xml:space="preserve">OAM. When activating the other logical DU and the cell(s) served by it, the PCI(s) can be </w:t>
      </w:r>
      <w:r w:rsidR="00FD6E8D">
        <w:t>(</w:t>
      </w:r>
      <w:r w:rsidR="00FC0C01">
        <w:t>pre-</w:t>
      </w:r>
      <w:r w:rsidR="00FD6E8D">
        <w:t>)</w:t>
      </w:r>
      <w:r w:rsidR="00FC0C01">
        <w:t>allocated by the OAM</w:t>
      </w:r>
      <w:r w:rsidR="00FD6E8D">
        <w:t xml:space="preserve"> in a legacy manner</w:t>
      </w:r>
      <w:r w:rsidR="00FC0C01">
        <w:t>.</w:t>
      </w:r>
      <w:r w:rsidR="008D6A27">
        <w:t xml:space="preserve"> However, OAM based PCI allocation for </w:t>
      </w:r>
      <w:r w:rsidR="00EC3EC9">
        <w:t xml:space="preserve">mobility purposes may not be optimum </w:t>
      </w:r>
      <w:r w:rsidR="00EE7C12">
        <w:t>as it cannot predict the IAB locations and whether</w:t>
      </w:r>
      <w:r w:rsidR="006A6F24">
        <w:t xml:space="preserve"> </w:t>
      </w:r>
      <w:proofErr w:type="gramStart"/>
      <w:r w:rsidR="006A6F24">
        <w:t>e.g.</w:t>
      </w:r>
      <w:proofErr w:type="gramEnd"/>
      <w:r w:rsidR="006A6F24">
        <w:t xml:space="preserve"> PCI collisions would happen when the two DUs are active. Hence, </w:t>
      </w:r>
      <w:r w:rsidR="00EC3EC9">
        <w:t xml:space="preserve">other options </w:t>
      </w:r>
      <w:r w:rsidR="006A6F24">
        <w:t xml:space="preserve">should </w:t>
      </w:r>
      <w:r w:rsidR="00EC3EC9">
        <w:t>be considered.</w:t>
      </w:r>
    </w:p>
    <w:p w14:paraId="1DB9DBB0" w14:textId="28428BFB" w:rsidR="008563B7" w:rsidRDefault="0EA4BF30" w:rsidP="00820DF6">
      <w:pPr>
        <w:overflowPunct/>
        <w:autoSpaceDE/>
        <w:autoSpaceDN/>
        <w:adjustRightInd/>
        <w:spacing w:after="0"/>
        <w:textAlignment w:val="auto"/>
      </w:pPr>
      <w:r>
        <w:t>An alternative</w:t>
      </w:r>
      <w:r w:rsidR="189686A1">
        <w:t xml:space="preserve"> option would be that RAN</w:t>
      </w:r>
      <w:r w:rsidR="00116BBB">
        <w:t xml:space="preserve"> (</w:t>
      </w:r>
      <w:proofErr w:type="gramStart"/>
      <w:r w:rsidR="00116BBB">
        <w:t>e.g.</w:t>
      </w:r>
      <w:proofErr w:type="gramEnd"/>
      <w:r w:rsidR="00116BBB">
        <w:t xml:space="preserve"> IAB-donor-CU)</w:t>
      </w:r>
      <w:r w:rsidR="189686A1">
        <w:t xml:space="preserve"> allocates the PCI(s) which would possibly require some coordination with the donors </w:t>
      </w:r>
      <w:r w:rsidR="306E0C8F">
        <w:t>and/</w:t>
      </w:r>
      <w:r w:rsidR="189686A1">
        <w:t xml:space="preserve">or with OAM. </w:t>
      </w:r>
    </w:p>
    <w:p w14:paraId="4CE44E38" w14:textId="6D99911C" w:rsidR="00FC0C01" w:rsidRDefault="00FC0C01" w:rsidP="00C7556E">
      <w:pPr>
        <w:overflowPunct/>
        <w:autoSpaceDE/>
        <w:autoSpaceDN/>
        <w:adjustRightInd/>
        <w:spacing w:after="0"/>
        <w:jc w:val="left"/>
        <w:textAlignment w:val="auto"/>
      </w:pPr>
    </w:p>
    <w:p w14:paraId="3760C60D" w14:textId="62DBDFAC" w:rsidR="00FC0C01" w:rsidRPr="00FC0C01" w:rsidRDefault="189686A1" w:rsidP="00C72D24">
      <w:pPr>
        <w:overflowPunct/>
        <w:autoSpaceDE/>
        <w:autoSpaceDN/>
        <w:adjustRightInd/>
        <w:jc w:val="left"/>
        <w:textAlignment w:val="auto"/>
        <w:rPr>
          <w:b/>
          <w:bCs/>
        </w:rPr>
      </w:pPr>
      <w:r w:rsidRPr="5CFFA20A">
        <w:rPr>
          <w:b/>
          <w:bCs/>
        </w:rPr>
        <w:t xml:space="preserve">Observation 4. PCI allocation </w:t>
      </w:r>
      <w:r w:rsidR="62B4F16A" w:rsidRPr="5CFFA20A">
        <w:rPr>
          <w:b/>
          <w:bCs/>
        </w:rPr>
        <w:t xml:space="preserve">by either RAN or OAM </w:t>
      </w:r>
      <w:r w:rsidRPr="5CFFA20A">
        <w:rPr>
          <w:b/>
          <w:bCs/>
        </w:rPr>
        <w:t>for the other logical DU cell(s) can be feasible options for the full migration procedure.</w:t>
      </w:r>
    </w:p>
    <w:p w14:paraId="006DDEBD" w14:textId="3BB6A80E" w:rsidR="00FC0C01" w:rsidRDefault="00FC0C01" w:rsidP="00C7556E">
      <w:pPr>
        <w:overflowPunct/>
        <w:autoSpaceDE/>
        <w:autoSpaceDN/>
        <w:adjustRightInd/>
        <w:spacing w:after="0"/>
        <w:jc w:val="left"/>
        <w:textAlignment w:val="auto"/>
      </w:pPr>
    </w:p>
    <w:p w14:paraId="23A21C6D" w14:textId="5A2EA9D4" w:rsidR="00FC0C01" w:rsidRDefault="189686A1" w:rsidP="00820DF6">
      <w:pPr>
        <w:overflowPunct/>
        <w:autoSpaceDE/>
        <w:autoSpaceDN/>
        <w:adjustRightInd/>
        <w:spacing w:after="0"/>
        <w:textAlignment w:val="auto"/>
      </w:pPr>
      <w:r>
        <w:t xml:space="preserve">The PCI allocation for the two logical DUs is also related to the radio resource sharing and whether the PCI(s) of the new cell(s) can be the same as those of the first DU. If the same PCI </w:t>
      </w:r>
      <w:r w:rsidR="1BE0B4A0">
        <w:t>can be used</w:t>
      </w:r>
      <w:r>
        <w:t>, there would n</w:t>
      </w:r>
      <w:r w:rsidR="426C3668">
        <w:t>ot be issues</w:t>
      </w:r>
      <w:r w:rsidR="6EA66E01">
        <w:t xml:space="preserve"> </w:t>
      </w:r>
      <w:r w:rsidR="6381FC17">
        <w:t>due to the IAB-node mobility (assuming dedicated PCIs for mobile IAB-nodes)</w:t>
      </w:r>
      <w:r w:rsidR="426C3668">
        <w:t xml:space="preserve">, nor related </w:t>
      </w:r>
      <w:r w:rsidR="2353A483">
        <w:t xml:space="preserve">to the </w:t>
      </w:r>
      <w:r w:rsidR="426C3668">
        <w:t xml:space="preserve">signalling procedures, for the PCI management </w:t>
      </w:r>
      <w:r w:rsidR="4D61B31C">
        <w:t xml:space="preserve">as </w:t>
      </w:r>
      <w:r w:rsidR="426C3668">
        <w:t xml:space="preserve">the </w:t>
      </w:r>
      <w:r w:rsidR="020574F3">
        <w:t xml:space="preserve">PCIs </w:t>
      </w:r>
      <w:r w:rsidR="521327B0">
        <w:t xml:space="preserve">allocated </w:t>
      </w:r>
      <w:r w:rsidR="426C3668">
        <w:t>initial</w:t>
      </w:r>
      <w:r w:rsidR="521327B0">
        <w:t>ly</w:t>
      </w:r>
      <w:r w:rsidR="426C3668">
        <w:t xml:space="preserve"> </w:t>
      </w:r>
      <w:r w:rsidR="020574F3">
        <w:t xml:space="preserve">can </w:t>
      </w:r>
      <w:r w:rsidR="426C3668">
        <w:t>be continued to be used.</w:t>
      </w:r>
      <w:r w:rsidR="0B062D98">
        <w:t xml:space="preserve"> It should be noted that </w:t>
      </w:r>
      <w:r w:rsidR="63253813">
        <w:t>the use of same PCI would imply same SSB configurations for the two DU cells</w:t>
      </w:r>
      <w:r w:rsidR="10F166ED">
        <w:t>. Otherwise, there would be PCI collision between cells of the two DUs.</w:t>
      </w:r>
    </w:p>
    <w:p w14:paraId="6B3F78D1" w14:textId="7D0AD6DE" w:rsidR="00820DF6" w:rsidRDefault="00820DF6" w:rsidP="00EB671D">
      <w:pPr>
        <w:overflowPunct/>
        <w:autoSpaceDE/>
        <w:autoSpaceDN/>
        <w:adjustRightInd/>
        <w:spacing w:after="0"/>
        <w:textAlignment w:val="auto"/>
      </w:pPr>
    </w:p>
    <w:p w14:paraId="23E2070C" w14:textId="4B3602BB" w:rsidR="00820DF6" w:rsidRPr="00820DF6" w:rsidRDefault="00820DF6" w:rsidP="00EB671D">
      <w:pPr>
        <w:overflowPunct/>
        <w:autoSpaceDE/>
        <w:autoSpaceDN/>
        <w:adjustRightInd/>
        <w:spacing w:after="0"/>
        <w:textAlignment w:val="auto"/>
        <w:rPr>
          <w:b/>
          <w:bCs/>
        </w:rPr>
      </w:pPr>
      <w:r w:rsidRPr="5CFFA20A">
        <w:rPr>
          <w:b/>
          <w:bCs/>
        </w:rPr>
        <w:t>Observation 5. Using the same PCI(s) for the source and target cell(s) of the two logical DUs would not require specific PCI management and would allow simplified procedure for the full migration.</w:t>
      </w:r>
    </w:p>
    <w:p w14:paraId="72B1A021" w14:textId="23591125" w:rsidR="00820DF6" w:rsidRDefault="00820DF6" w:rsidP="00EB671D">
      <w:pPr>
        <w:overflowPunct/>
        <w:autoSpaceDE/>
        <w:autoSpaceDN/>
        <w:adjustRightInd/>
        <w:spacing w:after="0"/>
        <w:textAlignment w:val="auto"/>
      </w:pPr>
    </w:p>
    <w:p w14:paraId="2AF3755C" w14:textId="5735E65D" w:rsidR="00820DF6" w:rsidRDefault="007D5F84" w:rsidP="00EB671D">
      <w:pPr>
        <w:overflowPunct/>
        <w:autoSpaceDE/>
        <w:autoSpaceDN/>
        <w:adjustRightInd/>
        <w:spacing w:after="0"/>
        <w:textAlignment w:val="auto"/>
      </w:pPr>
      <w:r>
        <w:t xml:space="preserve">As said, the PCI allocation is related to the radio resource sharing between the two DUs. </w:t>
      </w:r>
    </w:p>
    <w:p w14:paraId="2A7AB73D" w14:textId="77777777" w:rsidR="00A00CA6" w:rsidRDefault="00A00CA6" w:rsidP="00EB671D">
      <w:pPr>
        <w:overflowPunct/>
        <w:autoSpaceDE/>
        <w:autoSpaceDN/>
        <w:adjustRightInd/>
        <w:spacing w:after="0"/>
        <w:textAlignment w:val="auto"/>
      </w:pPr>
    </w:p>
    <w:p w14:paraId="1F41CE06" w14:textId="49D35C7F" w:rsidR="00A00CA6" w:rsidRPr="00C72D24" w:rsidRDefault="22474B04" w:rsidP="3A031711">
      <w:pPr>
        <w:overflowPunct/>
        <w:autoSpaceDE/>
        <w:autoSpaceDN/>
        <w:adjustRightInd/>
        <w:spacing w:after="0"/>
        <w:textAlignment w:val="auto"/>
        <w:rPr>
          <w:b/>
          <w:bCs/>
        </w:rPr>
      </w:pPr>
      <w:r w:rsidRPr="00C72D24">
        <w:rPr>
          <w:b/>
          <w:bCs/>
        </w:rPr>
        <w:t xml:space="preserve">Proposal </w:t>
      </w:r>
      <w:r w:rsidR="008F177A">
        <w:rPr>
          <w:b/>
          <w:bCs/>
        </w:rPr>
        <w:t>2</w:t>
      </w:r>
      <w:r w:rsidR="6D68136A" w:rsidRPr="00C72D24">
        <w:rPr>
          <w:b/>
          <w:bCs/>
        </w:rPr>
        <w:t xml:space="preserve">. RAN3 to consider </w:t>
      </w:r>
      <w:r w:rsidR="1552D6E8" w:rsidRPr="00C72D24">
        <w:rPr>
          <w:b/>
          <w:bCs/>
        </w:rPr>
        <w:t xml:space="preserve">options for </w:t>
      </w:r>
      <w:r w:rsidR="6D68136A" w:rsidRPr="00C72D24">
        <w:rPr>
          <w:b/>
          <w:bCs/>
        </w:rPr>
        <w:t xml:space="preserve">PCI management in full migration </w:t>
      </w:r>
      <w:r w:rsidR="1552D6E8" w:rsidRPr="00C72D24">
        <w:rPr>
          <w:b/>
          <w:bCs/>
        </w:rPr>
        <w:t>as dis</w:t>
      </w:r>
      <w:r w:rsidR="7DDA412B" w:rsidRPr="00C72D24">
        <w:rPr>
          <w:b/>
          <w:bCs/>
        </w:rPr>
        <w:t>cussed above.</w:t>
      </w:r>
    </w:p>
    <w:p w14:paraId="5B6D3E0B" w14:textId="77777777" w:rsidR="008563B7" w:rsidRDefault="008563B7" w:rsidP="00C7556E">
      <w:pPr>
        <w:overflowPunct/>
        <w:autoSpaceDE/>
        <w:autoSpaceDN/>
        <w:adjustRightInd/>
        <w:spacing w:after="0"/>
        <w:jc w:val="left"/>
        <w:textAlignment w:val="auto"/>
      </w:pPr>
    </w:p>
    <w:p w14:paraId="0A4A4F1B" w14:textId="7D6FF777" w:rsidR="009F77BA" w:rsidRDefault="009F77BA" w:rsidP="009F77BA">
      <w:pPr>
        <w:pStyle w:val="Heading2"/>
      </w:pPr>
      <w:r>
        <w:t>2.3 Inter-node information sharing</w:t>
      </w:r>
    </w:p>
    <w:p w14:paraId="45BFEC6A" w14:textId="08CDC938" w:rsidR="00B40759" w:rsidRDefault="00B40759" w:rsidP="001D556C">
      <w:pPr>
        <w:overflowPunct/>
        <w:autoSpaceDE/>
        <w:autoSpaceDN/>
        <w:adjustRightInd/>
        <w:textAlignment w:val="auto"/>
      </w:pPr>
      <w:r>
        <w:t xml:space="preserve">Rel.17 </w:t>
      </w:r>
      <w:proofErr w:type="spellStart"/>
      <w:r>
        <w:t>Xn</w:t>
      </w:r>
      <w:proofErr w:type="spellEnd"/>
      <w:r>
        <w:t xml:space="preserve"> specification supports following information to be shared between CUs in X</w:t>
      </w:r>
      <w:r w:rsidR="001D556C">
        <w:t>N</w:t>
      </w:r>
      <w:r>
        <w:t xml:space="preserve"> </w:t>
      </w:r>
      <w:r w:rsidR="001D556C">
        <w:t xml:space="preserve">SETUP and </w:t>
      </w:r>
      <w:r w:rsidR="001D556C" w:rsidRPr="001D556C">
        <w:t>NG-RAN NODE CONFIGURATION UPDATE</w:t>
      </w:r>
      <w:r w:rsidR="001D556C">
        <w:t xml:space="preserve"> signalling, [2]</w:t>
      </w:r>
      <w:r>
        <w:t>:</w:t>
      </w:r>
    </w:p>
    <w:p w14:paraId="35CF9049" w14:textId="7E9EAB57" w:rsidR="00B40759" w:rsidRDefault="00B40759" w:rsidP="00B40759">
      <w:pPr>
        <w:pStyle w:val="ListParagraph"/>
        <w:numPr>
          <w:ilvl w:val="0"/>
          <w:numId w:val="33"/>
        </w:numPr>
        <w:overflowPunct/>
        <w:autoSpaceDE/>
        <w:autoSpaceDN/>
        <w:adjustRightInd/>
        <w:spacing w:after="0"/>
        <w:textAlignment w:val="auto"/>
      </w:pPr>
      <w:r>
        <w:t xml:space="preserve">Served cell </w:t>
      </w:r>
      <w:r w:rsidR="001D556C">
        <w:t>information</w:t>
      </w:r>
      <w:r>
        <w:t xml:space="preserve"> </w:t>
      </w:r>
      <w:r w:rsidR="001D556C">
        <w:t>e.g.,</w:t>
      </w:r>
      <w:r>
        <w:t xml:space="preserve"> carrier information, TDD configuration</w:t>
      </w:r>
    </w:p>
    <w:p w14:paraId="6A3A6AFC" w14:textId="0020BC67" w:rsidR="00B40759" w:rsidRDefault="00B40759" w:rsidP="00B40759">
      <w:pPr>
        <w:pStyle w:val="ListParagraph"/>
        <w:numPr>
          <w:ilvl w:val="0"/>
          <w:numId w:val="33"/>
        </w:numPr>
        <w:overflowPunct/>
        <w:autoSpaceDE/>
        <w:autoSpaceDN/>
        <w:adjustRightInd/>
        <w:spacing w:after="0"/>
        <w:textAlignment w:val="auto"/>
      </w:pPr>
      <w:r>
        <w:t>IAB-DU resource configurations; H/S/NA configuration</w:t>
      </w:r>
    </w:p>
    <w:p w14:paraId="0FF67A4D" w14:textId="39C627C2" w:rsidR="00B40759" w:rsidRDefault="00B40759" w:rsidP="00B40759">
      <w:pPr>
        <w:pStyle w:val="ListParagraph"/>
        <w:numPr>
          <w:ilvl w:val="0"/>
          <w:numId w:val="33"/>
        </w:numPr>
        <w:overflowPunct/>
        <w:autoSpaceDE/>
        <w:autoSpaceDN/>
        <w:adjustRightInd/>
        <w:spacing w:after="0"/>
        <w:textAlignment w:val="auto"/>
      </w:pPr>
      <w:r>
        <w:t>Neighbour cell information; carriers</w:t>
      </w:r>
    </w:p>
    <w:p w14:paraId="01F00E07" w14:textId="0C9A26A2" w:rsidR="00B40759" w:rsidRDefault="00B40759" w:rsidP="00B40759">
      <w:pPr>
        <w:pStyle w:val="ListParagraph"/>
        <w:numPr>
          <w:ilvl w:val="0"/>
          <w:numId w:val="33"/>
        </w:numPr>
        <w:overflowPunct/>
        <w:autoSpaceDE/>
        <w:autoSpaceDN/>
        <w:adjustRightInd/>
        <w:spacing w:after="0"/>
        <w:textAlignment w:val="auto"/>
      </w:pPr>
      <w:r>
        <w:t xml:space="preserve">Broadcast information: </w:t>
      </w:r>
      <w:r w:rsidR="001D556C">
        <w:t>e.g.,</w:t>
      </w:r>
      <w:r>
        <w:t xml:space="preserve"> PLMN ID, cell ID, TAC, SSB positions, PRACH configuration, CSI TX indication</w:t>
      </w:r>
    </w:p>
    <w:p w14:paraId="277215B5" w14:textId="294DE0DE" w:rsidR="00B40759" w:rsidRDefault="00B40759" w:rsidP="009F77BA">
      <w:pPr>
        <w:overflowPunct/>
        <w:autoSpaceDE/>
        <w:autoSpaceDN/>
        <w:adjustRightInd/>
        <w:spacing w:after="0"/>
        <w:textAlignment w:val="auto"/>
      </w:pPr>
    </w:p>
    <w:p w14:paraId="2BB86085" w14:textId="7AFFA04B" w:rsidR="00B40759" w:rsidRDefault="001D556C" w:rsidP="009F77BA">
      <w:pPr>
        <w:overflowPunct/>
        <w:autoSpaceDE/>
        <w:autoSpaceDN/>
        <w:adjustRightInd/>
        <w:spacing w:after="0"/>
        <w:textAlignment w:val="auto"/>
      </w:pPr>
      <w:r>
        <w:t xml:space="preserve">Current </w:t>
      </w:r>
      <w:r w:rsidR="00B40759">
        <w:t xml:space="preserve">signalling can </w:t>
      </w:r>
      <w:r>
        <w:t xml:space="preserve">hence </w:t>
      </w:r>
      <w:r w:rsidR="00B40759">
        <w:t xml:space="preserve">provide comprehensive information about the cell </w:t>
      </w:r>
      <w:r>
        <w:t>configurations to be shared between neighbouring nodes, being either fixed and/or mobile. The signalling can be used to anticipate potential interference also in scenarios</w:t>
      </w:r>
      <w:r w:rsidR="00B40759">
        <w:t xml:space="preserve"> </w:t>
      </w:r>
      <w:r>
        <w:t>where the IAB-node is moving.</w:t>
      </w:r>
    </w:p>
    <w:p w14:paraId="3BB544F3" w14:textId="7B2172FB" w:rsidR="00785158" w:rsidRDefault="00785158" w:rsidP="009F77BA">
      <w:pPr>
        <w:overflowPunct/>
        <w:autoSpaceDE/>
        <w:autoSpaceDN/>
        <w:adjustRightInd/>
        <w:spacing w:after="0"/>
        <w:textAlignment w:val="auto"/>
      </w:pPr>
    </w:p>
    <w:p w14:paraId="4D4509DC" w14:textId="4B757D40" w:rsidR="00785158" w:rsidRPr="00F41441" w:rsidRDefault="00785158" w:rsidP="009F77BA">
      <w:pPr>
        <w:overflowPunct/>
        <w:autoSpaceDE/>
        <w:autoSpaceDN/>
        <w:adjustRightInd/>
        <w:spacing w:after="0"/>
        <w:textAlignment w:val="auto"/>
        <w:rPr>
          <w:b/>
          <w:bCs/>
        </w:rPr>
      </w:pPr>
      <w:r w:rsidRPr="5CFFA20A">
        <w:rPr>
          <w:b/>
          <w:bCs/>
        </w:rPr>
        <w:t xml:space="preserve">Observation 6. Rel.17 </w:t>
      </w:r>
      <w:proofErr w:type="spellStart"/>
      <w:r w:rsidRPr="5CFFA20A">
        <w:rPr>
          <w:b/>
          <w:bCs/>
        </w:rPr>
        <w:t>XnAP</w:t>
      </w:r>
      <w:proofErr w:type="spellEnd"/>
      <w:r w:rsidRPr="5CFFA20A">
        <w:rPr>
          <w:b/>
          <w:bCs/>
        </w:rPr>
        <w:t xml:space="preserve"> provides means to share relevant information about the cell configurations to anticipate potential interference issues while the IAB-node is moving.</w:t>
      </w:r>
    </w:p>
    <w:p w14:paraId="181C26B3" w14:textId="0B054CB7" w:rsidR="00785158" w:rsidRDefault="00785158" w:rsidP="009F77BA">
      <w:pPr>
        <w:overflowPunct/>
        <w:autoSpaceDE/>
        <w:autoSpaceDN/>
        <w:adjustRightInd/>
        <w:spacing w:after="0"/>
        <w:textAlignment w:val="auto"/>
      </w:pPr>
    </w:p>
    <w:p w14:paraId="655CB7FC" w14:textId="7552E52D" w:rsidR="00785158" w:rsidRDefault="4DA34FB8" w:rsidP="009F77BA">
      <w:pPr>
        <w:overflowPunct/>
        <w:autoSpaceDE/>
        <w:autoSpaceDN/>
        <w:adjustRightInd/>
        <w:spacing w:after="0"/>
        <w:textAlignment w:val="auto"/>
      </w:pPr>
      <w:r>
        <w:t>The other RAN WGs can investigate if any additional information would be needed to be shared between the nodes to support mobile IAB scenarios.</w:t>
      </w:r>
    </w:p>
    <w:p w14:paraId="2A6A318F" w14:textId="46FBF671" w:rsidR="00F41441" w:rsidRDefault="00F41441" w:rsidP="009F77BA">
      <w:pPr>
        <w:overflowPunct/>
        <w:autoSpaceDE/>
        <w:autoSpaceDN/>
        <w:adjustRightInd/>
        <w:spacing w:after="0"/>
        <w:textAlignment w:val="auto"/>
      </w:pPr>
    </w:p>
    <w:p w14:paraId="4B2A2F6E" w14:textId="54B65C64" w:rsidR="00F41441" w:rsidRPr="00F41441" w:rsidRDefault="4DA34FB8" w:rsidP="009F77BA">
      <w:pPr>
        <w:overflowPunct/>
        <w:autoSpaceDE/>
        <w:autoSpaceDN/>
        <w:adjustRightInd/>
        <w:spacing w:after="0"/>
        <w:textAlignment w:val="auto"/>
        <w:rPr>
          <w:b/>
          <w:bCs/>
        </w:rPr>
      </w:pPr>
      <w:r w:rsidRPr="3A031711">
        <w:rPr>
          <w:b/>
          <w:bCs/>
        </w:rPr>
        <w:t xml:space="preserve">Proposal </w:t>
      </w:r>
      <w:r w:rsidR="008F177A">
        <w:rPr>
          <w:b/>
          <w:bCs/>
        </w:rPr>
        <w:t>3</w:t>
      </w:r>
      <w:r w:rsidRPr="3A031711">
        <w:rPr>
          <w:b/>
          <w:bCs/>
        </w:rPr>
        <w:t xml:space="preserve">. RAN3 can wait conclusions of the other WGs whether Rel.17 provides sufficient information sharing between the nodes or if some enhancements are needed to cope </w:t>
      </w:r>
      <w:proofErr w:type="gramStart"/>
      <w:r w:rsidRPr="3A031711">
        <w:rPr>
          <w:b/>
          <w:bCs/>
        </w:rPr>
        <w:t>with  interference</w:t>
      </w:r>
      <w:proofErr w:type="gramEnd"/>
      <w:r w:rsidRPr="3A031711">
        <w:rPr>
          <w:b/>
          <w:bCs/>
        </w:rPr>
        <w:t xml:space="preserve"> scenarios with mobile IAB deployments.</w:t>
      </w:r>
    </w:p>
    <w:p w14:paraId="5157516A" w14:textId="1493ABE1" w:rsidR="0074392B" w:rsidRDefault="0074392B" w:rsidP="00C7556E">
      <w:pPr>
        <w:overflowPunct/>
        <w:autoSpaceDE/>
        <w:autoSpaceDN/>
        <w:adjustRightInd/>
        <w:spacing w:after="0"/>
        <w:jc w:val="left"/>
        <w:textAlignment w:val="auto"/>
      </w:pPr>
    </w:p>
    <w:p w14:paraId="00358306" w14:textId="77777777" w:rsidR="0074392B" w:rsidRDefault="0074392B" w:rsidP="00C7556E">
      <w:pPr>
        <w:overflowPunct/>
        <w:autoSpaceDE/>
        <w:autoSpaceDN/>
        <w:adjustRightInd/>
        <w:spacing w:after="0"/>
        <w:jc w:val="left"/>
        <w:textAlignment w:val="auto"/>
      </w:pPr>
    </w:p>
    <w:p w14:paraId="374D50FB" w14:textId="008C9E71" w:rsidR="00C7556E" w:rsidRDefault="00C7556E" w:rsidP="00C7556E">
      <w:pPr>
        <w:pStyle w:val="Heading1"/>
      </w:pPr>
      <w:r>
        <w:t>Conclusions</w:t>
      </w:r>
    </w:p>
    <w:p w14:paraId="2C288EBE" w14:textId="4950CA17" w:rsidR="00C7556E" w:rsidRDefault="00C7556E" w:rsidP="00C7556E">
      <w:pPr>
        <w:spacing w:after="180"/>
        <w:jc w:val="left"/>
      </w:pPr>
      <w:r>
        <w:t>In this contribution we have elaborated IAB mobility and related issues on PCI management, common channel configurations and interference mitigation. As conclusions we had following observations and proposals:</w:t>
      </w:r>
    </w:p>
    <w:p w14:paraId="01E586DF" w14:textId="20A4B63A" w:rsidR="00BD4AF3" w:rsidRDefault="00BD4AF3" w:rsidP="5CFFA20A">
      <w:pPr>
        <w:rPr>
          <w:b/>
          <w:bCs/>
        </w:rPr>
      </w:pPr>
      <w:r w:rsidRPr="5CFFA20A">
        <w:rPr>
          <w:b/>
          <w:bCs/>
        </w:rPr>
        <w:t>Observation 1. With dedicated PCIs for mobile IAB-nodes, PCI collision with fixed cells can be avoided.</w:t>
      </w:r>
    </w:p>
    <w:p w14:paraId="2F3C49BE" w14:textId="7B33601F" w:rsidR="006D78B9" w:rsidRDefault="006D78B9" w:rsidP="5CFFA20A">
      <w:pPr>
        <w:rPr>
          <w:b/>
          <w:bCs/>
        </w:rPr>
      </w:pPr>
      <w:r w:rsidRPr="5CFFA20A">
        <w:rPr>
          <w:b/>
          <w:bCs/>
        </w:rPr>
        <w:t>Observation 2. The probability of PCI collision between mobile IAB-nodes depend</w:t>
      </w:r>
      <w:r w:rsidR="005D689A" w:rsidRPr="5CFFA20A">
        <w:rPr>
          <w:b/>
          <w:bCs/>
        </w:rPr>
        <w:t>s</w:t>
      </w:r>
      <w:r w:rsidRPr="5CFFA20A">
        <w:rPr>
          <w:b/>
          <w:bCs/>
        </w:rPr>
        <w:t xml:space="preserve"> o</w:t>
      </w:r>
      <w:r w:rsidR="00F83EBD" w:rsidRPr="5CFFA20A">
        <w:rPr>
          <w:b/>
          <w:bCs/>
        </w:rPr>
        <w:t>n</w:t>
      </w:r>
      <w:r w:rsidRPr="5CFFA20A">
        <w:rPr>
          <w:b/>
          <w:bCs/>
        </w:rPr>
        <w:t xml:space="preserve"> the use case and deployment scenario.</w:t>
      </w:r>
    </w:p>
    <w:p w14:paraId="6E006277" w14:textId="477081FF" w:rsidR="006D78B9" w:rsidRDefault="006D78B9" w:rsidP="5CFFA20A">
      <w:pPr>
        <w:rPr>
          <w:b/>
          <w:bCs/>
        </w:rPr>
      </w:pPr>
      <w:r w:rsidRPr="5CFFA20A">
        <w:rPr>
          <w:b/>
          <w:bCs/>
        </w:rPr>
        <w:t xml:space="preserve">Observation 3. The remedy of PCI collision between mobile IAB-nodes would </w:t>
      </w:r>
      <w:r w:rsidR="00036120" w:rsidRPr="5CFFA20A">
        <w:rPr>
          <w:b/>
          <w:bCs/>
        </w:rPr>
        <w:t>need PCI change of an active cell of a mobile IAB-node affecting the UEs connected to it.</w:t>
      </w:r>
      <w:r w:rsidR="5CFFA20A" w:rsidRPr="5CFFA20A">
        <w:rPr>
          <w:b/>
          <w:bCs/>
        </w:rPr>
        <w:t xml:space="preserve"> </w:t>
      </w:r>
    </w:p>
    <w:p w14:paraId="0A2CF69E" w14:textId="7C56C57F" w:rsidR="189686A1" w:rsidRDefault="189686A1" w:rsidP="5CFFA20A">
      <w:pPr>
        <w:jc w:val="left"/>
        <w:rPr>
          <w:b/>
          <w:bCs/>
        </w:rPr>
      </w:pPr>
      <w:r w:rsidRPr="5CFFA20A">
        <w:rPr>
          <w:b/>
          <w:bCs/>
        </w:rPr>
        <w:t xml:space="preserve">Observation 4. PCI allocation </w:t>
      </w:r>
      <w:r w:rsidR="62B4F16A" w:rsidRPr="5CFFA20A">
        <w:rPr>
          <w:b/>
          <w:bCs/>
        </w:rPr>
        <w:t xml:space="preserve">by either RAN or OAM </w:t>
      </w:r>
      <w:r w:rsidRPr="5CFFA20A">
        <w:rPr>
          <w:b/>
          <w:bCs/>
        </w:rPr>
        <w:t>for the other logical DU cell(s) can be feasible options for the full migration procedure.</w:t>
      </w:r>
      <w:r w:rsidR="5CFFA20A" w:rsidRPr="5CFFA20A">
        <w:rPr>
          <w:b/>
          <w:bCs/>
        </w:rPr>
        <w:t xml:space="preserve"> </w:t>
      </w:r>
    </w:p>
    <w:p w14:paraId="610434A7" w14:textId="5C806344" w:rsidR="00820DF6" w:rsidRDefault="00820DF6" w:rsidP="5CFFA20A">
      <w:pPr>
        <w:spacing w:after="0"/>
        <w:rPr>
          <w:b/>
          <w:bCs/>
        </w:rPr>
      </w:pPr>
      <w:r w:rsidRPr="5CFFA20A">
        <w:rPr>
          <w:b/>
          <w:bCs/>
        </w:rPr>
        <w:t>Observation 5. Using the same PCI(s) for the source and target cell(s) of the two logical DUs would not require specific PCI management and would allow simplified procedure for the full migration.</w:t>
      </w:r>
    </w:p>
    <w:p w14:paraId="303D249C" w14:textId="23591125" w:rsidR="5CFFA20A" w:rsidRDefault="5CFFA20A" w:rsidP="5CFFA20A">
      <w:pPr>
        <w:spacing w:after="0"/>
      </w:pPr>
    </w:p>
    <w:p w14:paraId="3F6589AE" w14:textId="49CFFAE7" w:rsidR="00785158" w:rsidRDefault="00785158" w:rsidP="00C72D24">
      <w:pPr>
        <w:spacing w:after="0"/>
        <w:ind w:right="283"/>
        <w:rPr>
          <w:b/>
          <w:bCs/>
        </w:rPr>
      </w:pPr>
      <w:r w:rsidRPr="5CFFA20A">
        <w:rPr>
          <w:b/>
          <w:bCs/>
        </w:rPr>
        <w:t xml:space="preserve">Observation 6. Rel.17 </w:t>
      </w:r>
      <w:proofErr w:type="spellStart"/>
      <w:r w:rsidRPr="5CFFA20A">
        <w:rPr>
          <w:b/>
          <w:bCs/>
        </w:rPr>
        <w:t>XnAP</w:t>
      </w:r>
      <w:proofErr w:type="spellEnd"/>
      <w:r w:rsidRPr="5CFFA20A">
        <w:rPr>
          <w:b/>
          <w:bCs/>
        </w:rPr>
        <w:t xml:space="preserve"> provides means to share relevant information about the cell configurations to anticipate potential interference issues while the IAB-node is moving.</w:t>
      </w:r>
    </w:p>
    <w:p w14:paraId="7B624FDD" w14:textId="0B054CB7" w:rsidR="5CFFA20A" w:rsidRDefault="5CFFA20A" w:rsidP="5CFFA20A">
      <w:pPr>
        <w:spacing w:after="0"/>
      </w:pPr>
    </w:p>
    <w:p w14:paraId="5E83EA10" w14:textId="5F0D60E9" w:rsidR="001D371B" w:rsidRDefault="001D371B" w:rsidP="5CFFA20A">
      <w:pPr>
        <w:rPr>
          <w:b/>
          <w:bCs/>
        </w:rPr>
      </w:pPr>
      <w:r w:rsidRPr="5CFFA20A">
        <w:rPr>
          <w:b/>
          <w:bCs/>
        </w:rPr>
        <w:t xml:space="preserve">Proposal </w:t>
      </w:r>
      <w:r w:rsidR="00DE23CB">
        <w:rPr>
          <w:b/>
          <w:bCs/>
        </w:rPr>
        <w:t>1</w:t>
      </w:r>
      <w:r w:rsidRPr="5CFFA20A">
        <w:rPr>
          <w:b/>
          <w:bCs/>
        </w:rPr>
        <w:t>. RAN3 to assess if any optimization is needed for the PCI change procedure aiming to avoid PCI collision between mobile IAB-nodes.</w:t>
      </w:r>
    </w:p>
    <w:p w14:paraId="62C24DBC" w14:textId="1F4BA5AF" w:rsidR="22474B04" w:rsidRDefault="22474B04" w:rsidP="5CFFA20A">
      <w:pPr>
        <w:spacing w:after="0"/>
        <w:rPr>
          <w:b/>
          <w:bCs/>
        </w:rPr>
      </w:pPr>
      <w:r w:rsidRPr="5CFFA20A">
        <w:rPr>
          <w:b/>
          <w:bCs/>
        </w:rPr>
        <w:t xml:space="preserve">Proposal </w:t>
      </w:r>
      <w:r w:rsidR="00DE23CB">
        <w:rPr>
          <w:b/>
          <w:bCs/>
        </w:rPr>
        <w:t>2</w:t>
      </w:r>
      <w:r w:rsidR="6D68136A" w:rsidRPr="5CFFA20A">
        <w:rPr>
          <w:b/>
          <w:bCs/>
        </w:rPr>
        <w:t xml:space="preserve">. RAN3 to consider </w:t>
      </w:r>
      <w:r w:rsidR="1552D6E8" w:rsidRPr="5CFFA20A">
        <w:rPr>
          <w:b/>
          <w:bCs/>
        </w:rPr>
        <w:t xml:space="preserve">options for </w:t>
      </w:r>
      <w:r w:rsidR="6D68136A" w:rsidRPr="5CFFA20A">
        <w:rPr>
          <w:b/>
          <w:bCs/>
        </w:rPr>
        <w:t xml:space="preserve">PCI management in full migration </w:t>
      </w:r>
      <w:r w:rsidR="1552D6E8" w:rsidRPr="5CFFA20A">
        <w:rPr>
          <w:b/>
          <w:bCs/>
        </w:rPr>
        <w:t>as dis</w:t>
      </w:r>
      <w:r w:rsidR="7DDA412B" w:rsidRPr="5CFFA20A">
        <w:rPr>
          <w:b/>
          <w:bCs/>
        </w:rPr>
        <w:t>cussed above.</w:t>
      </w:r>
    </w:p>
    <w:p w14:paraId="3B57B989" w14:textId="77777777" w:rsidR="5CFFA20A" w:rsidRDefault="5CFFA20A" w:rsidP="5CFFA20A">
      <w:pPr>
        <w:spacing w:after="0"/>
        <w:jc w:val="left"/>
      </w:pPr>
    </w:p>
    <w:p w14:paraId="16EC82EB" w14:textId="341FF8A7" w:rsidR="4DA34FB8" w:rsidRDefault="4DA34FB8" w:rsidP="5CFFA20A">
      <w:pPr>
        <w:spacing w:after="0"/>
        <w:rPr>
          <w:b/>
          <w:bCs/>
        </w:rPr>
      </w:pPr>
      <w:r w:rsidRPr="5CFFA20A">
        <w:rPr>
          <w:b/>
          <w:bCs/>
        </w:rPr>
        <w:t xml:space="preserve">Proposal </w:t>
      </w:r>
      <w:r w:rsidR="00DE23CB">
        <w:rPr>
          <w:b/>
          <w:bCs/>
        </w:rPr>
        <w:t>3</w:t>
      </w:r>
      <w:r w:rsidRPr="5CFFA20A">
        <w:rPr>
          <w:b/>
          <w:bCs/>
        </w:rPr>
        <w:t xml:space="preserve">. RAN3 can </w:t>
      </w:r>
      <w:proofErr w:type="spellStart"/>
      <w:r w:rsidRPr="5CFFA20A">
        <w:rPr>
          <w:b/>
          <w:bCs/>
        </w:rPr>
        <w:t>can</w:t>
      </w:r>
      <w:proofErr w:type="spellEnd"/>
      <w:r w:rsidRPr="5CFFA20A">
        <w:rPr>
          <w:b/>
          <w:bCs/>
        </w:rPr>
        <w:t xml:space="preserve"> wait conclusions of the other WGs whether Rel.17 provides sufficient information sharing between the nodes or if some enhancements are needed to cope </w:t>
      </w:r>
      <w:proofErr w:type="gramStart"/>
      <w:r w:rsidRPr="5CFFA20A">
        <w:rPr>
          <w:b/>
          <w:bCs/>
        </w:rPr>
        <w:t>with  interference</w:t>
      </w:r>
      <w:proofErr w:type="gramEnd"/>
      <w:r w:rsidRPr="5CFFA20A">
        <w:rPr>
          <w:b/>
          <w:bCs/>
        </w:rPr>
        <w:t xml:space="preserve"> scenarios with mobile IAB deployments.</w:t>
      </w:r>
    </w:p>
    <w:p w14:paraId="7EA6BFE8" w14:textId="51B42533" w:rsidR="5CFFA20A" w:rsidRDefault="5CFFA20A" w:rsidP="5CFFA20A">
      <w:pPr>
        <w:spacing w:after="180"/>
        <w:jc w:val="left"/>
      </w:pPr>
    </w:p>
    <w:p w14:paraId="485ACEAB" w14:textId="77777777" w:rsidR="009443C0" w:rsidRDefault="009443C0">
      <w:pPr>
        <w:overflowPunct/>
        <w:autoSpaceDE/>
        <w:autoSpaceDN/>
        <w:adjustRightInd/>
        <w:spacing w:after="0"/>
        <w:jc w:val="left"/>
        <w:textAlignment w:val="auto"/>
      </w:pPr>
    </w:p>
    <w:p w14:paraId="5EB74BFD" w14:textId="77777777" w:rsidR="009443C0" w:rsidRDefault="009443C0" w:rsidP="009443C0">
      <w:pPr>
        <w:overflowPunct/>
        <w:autoSpaceDE/>
        <w:autoSpaceDN/>
        <w:adjustRightInd/>
        <w:spacing w:after="0"/>
        <w:jc w:val="left"/>
        <w:textAlignment w:val="auto"/>
      </w:pPr>
    </w:p>
    <w:p w14:paraId="38EB08E5" w14:textId="77777777" w:rsidR="009443C0" w:rsidRDefault="009443C0" w:rsidP="009443C0">
      <w:pPr>
        <w:pStyle w:val="Heading1"/>
      </w:pPr>
      <w:r>
        <w:t>References</w:t>
      </w:r>
    </w:p>
    <w:p w14:paraId="272F60A9" w14:textId="4B0475A5" w:rsidR="009443C0" w:rsidRDefault="00E86720" w:rsidP="009443C0">
      <w:pPr>
        <w:numPr>
          <w:ilvl w:val="0"/>
          <w:numId w:val="20"/>
        </w:numPr>
        <w:spacing w:after="180"/>
        <w:jc w:val="left"/>
      </w:pPr>
      <w:r w:rsidRPr="00E86720">
        <w:t>RP-221815</w:t>
      </w:r>
      <w:r>
        <w:t xml:space="preserve"> New </w:t>
      </w:r>
      <w:r w:rsidR="009443C0">
        <w:t>WID</w:t>
      </w:r>
      <w:r>
        <w:t xml:space="preserve"> on Mobile IAB</w:t>
      </w:r>
    </w:p>
    <w:p w14:paraId="052215FC" w14:textId="6F05C8A7" w:rsidR="001D556C" w:rsidRDefault="001D556C" w:rsidP="009443C0">
      <w:pPr>
        <w:numPr>
          <w:ilvl w:val="0"/>
          <w:numId w:val="20"/>
        </w:numPr>
        <w:spacing w:after="180"/>
        <w:jc w:val="left"/>
      </w:pPr>
      <w:r>
        <w:t>TS 38.423 v.17.0.0</w:t>
      </w:r>
    </w:p>
    <w:sectPr w:rsidR="001D556C" w:rsidSect="009443C0">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3D7F5" w14:textId="77777777" w:rsidR="00920DE7" w:rsidRDefault="00920DE7">
      <w:r>
        <w:separator/>
      </w:r>
    </w:p>
  </w:endnote>
  <w:endnote w:type="continuationSeparator" w:id="0">
    <w:p w14:paraId="1F60C059" w14:textId="77777777" w:rsidR="00920DE7" w:rsidRDefault="00920DE7">
      <w:r>
        <w:continuationSeparator/>
      </w:r>
    </w:p>
  </w:endnote>
  <w:endnote w:type="continuationNotice" w:id="1">
    <w:p w14:paraId="23BBE435" w14:textId="77777777" w:rsidR="00920DE7" w:rsidRDefault="00920D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800002BF" w:usb1="38CF7CFA" w:usb2="00000016" w:usb3="00000000" w:csb0="00040001" w:csb1="00000000"/>
  </w:font>
  <w:font w:name="ZapfDingbats">
    <w:altName w:val="Segoe Print"/>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06F6" w14:textId="77777777" w:rsidR="00920DE7" w:rsidRDefault="00920DE7">
      <w:r>
        <w:separator/>
      </w:r>
    </w:p>
  </w:footnote>
  <w:footnote w:type="continuationSeparator" w:id="0">
    <w:p w14:paraId="4DE2B488" w14:textId="77777777" w:rsidR="00920DE7" w:rsidRDefault="00920DE7">
      <w:r>
        <w:continuationSeparator/>
      </w:r>
    </w:p>
  </w:footnote>
  <w:footnote w:type="continuationNotice" w:id="1">
    <w:p w14:paraId="3824162B" w14:textId="77777777" w:rsidR="00920DE7" w:rsidRDefault="00920D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3422F9"/>
    <w:multiLevelType w:val="hybridMultilevel"/>
    <w:tmpl w:val="388A5412"/>
    <w:lvl w:ilvl="0" w:tplc="28743BFA">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3"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1"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6C5F29"/>
    <w:multiLevelType w:val="hybridMultilevel"/>
    <w:tmpl w:val="08B0C468"/>
    <w:lvl w:ilvl="0" w:tplc="FFF01ED4">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4"/>
  </w:num>
  <w:num w:numId="4">
    <w:abstractNumId w:val="15"/>
  </w:num>
  <w:num w:numId="5">
    <w:abstractNumId w:val="9"/>
  </w:num>
  <w:num w:numId="6">
    <w:abstractNumId w:val="16"/>
  </w:num>
  <w:num w:numId="7">
    <w:abstractNumId w:val="22"/>
  </w:num>
  <w:num w:numId="8">
    <w:abstractNumId w:val="10"/>
  </w:num>
  <w:num w:numId="9">
    <w:abstractNumId w:val="18"/>
  </w:num>
  <w:num w:numId="10">
    <w:abstractNumId w:val="23"/>
  </w:num>
  <w:num w:numId="11">
    <w:abstractNumId w:val="3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6"/>
  </w:num>
  <w:num w:numId="17">
    <w:abstractNumId w:val="21"/>
  </w:num>
  <w:num w:numId="18">
    <w:abstractNumId w:val="31"/>
  </w:num>
  <w:num w:numId="19">
    <w:abstractNumId w:val="8"/>
  </w:num>
  <w:num w:numId="20">
    <w:abstractNumId w:val="1"/>
  </w:num>
  <w:num w:numId="21">
    <w:abstractNumId w:val="19"/>
    <w:lvlOverride w:ilvl="0">
      <w:startOverride w:val="1"/>
    </w:lvlOverride>
  </w:num>
  <w:num w:numId="22">
    <w:abstractNumId w:val="2"/>
  </w:num>
  <w:num w:numId="23">
    <w:abstractNumId w:val="7"/>
  </w:num>
  <w:num w:numId="24">
    <w:abstractNumId w:val="4"/>
  </w:num>
  <w:num w:numId="25">
    <w:abstractNumId w:val="13"/>
  </w:num>
  <w:num w:numId="26">
    <w:abstractNumId w:val="24"/>
  </w:num>
  <w:num w:numId="27">
    <w:abstractNumId w:val="26"/>
  </w:num>
  <w:num w:numId="28">
    <w:abstractNumId w:val="11"/>
  </w:num>
  <w:num w:numId="29">
    <w:abstractNumId w:val="25"/>
  </w:num>
  <w:num w:numId="30">
    <w:abstractNumId w:val="30"/>
  </w:num>
  <w:num w:numId="31">
    <w:abstractNumId w:val="28"/>
  </w:num>
  <w:num w:numId="32">
    <w:abstractNumId w:val="5"/>
  </w:num>
  <w:num w:numId="33">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24"/>
    <w:rsid w:val="00002A37"/>
    <w:rsid w:val="00002BEA"/>
    <w:rsid w:val="00003047"/>
    <w:rsid w:val="0000324D"/>
    <w:rsid w:val="00003AB7"/>
    <w:rsid w:val="00005436"/>
    <w:rsid w:val="00005A0E"/>
    <w:rsid w:val="0000610A"/>
    <w:rsid w:val="00006446"/>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C3B"/>
    <w:rsid w:val="00014CC2"/>
    <w:rsid w:val="0001548C"/>
    <w:rsid w:val="00015BE3"/>
    <w:rsid w:val="00015D15"/>
    <w:rsid w:val="000163D0"/>
    <w:rsid w:val="00016D0D"/>
    <w:rsid w:val="00017038"/>
    <w:rsid w:val="000179D1"/>
    <w:rsid w:val="000200F0"/>
    <w:rsid w:val="0002084C"/>
    <w:rsid w:val="000212A2"/>
    <w:rsid w:val="00021FEB"/>
    <w:rsid w:val="00022116"/>
    <w:rsid w:val="00022590"/>
    <w:rsid w:val="000226EB"/>
    <w:rsid w:val="000229C4"/>
    <w:rsid w:val="00022DA7"/>
    <w:rsid w:val="000238DA"/>
    <w:rsid w:val="000244B4"/>
    <w:rsid w:val="000247D1"/>
    <w:rsid w:val="00025301"/>
    <w:rsid w:val="00025408"/>
    <w:rsid w:val="0002564D"/>
    <w:rsid w:val="00025ECA"/>
    <w:rsid w:val="0002600C"/>
    <w:rsid w:val="00027939"/>
    <w:rsid w:val="000302A3"/>
    <w:rsid w:val="0003063B"/>
    <w:rsid w:val="000325B8"/>
    <w:rsid w:val="00033087"/>
    <w:rsid w:val="0003369F"/>
    <w:rsid w:val="00033EC4"/>
    <w:rsid w:val="00034C15"/>
    <w:rsid w:val="00035648"/>
    <w:rsid w:val="0003568B"/>
    <w:rsid w:val="00035ECD"/>
    <w:rsid w:val="00036120"/>
    <w:rsid w:val="00036318"/>
    <w:rsid w:val="0003689A"/>
    <w:rsid w:val="00036BA1"/>
    <w:rsid w:val="00036BC6"/>
    <w:rsid w:val="0003719B"/>
    <w:rsid w:val="00041145"/>
    <w:rsid w:val="00041DE7"/>
    <w:rsid w:val="000422E2"/>
    <w:rsid w:val="000426A9"/>
    <w:rsid w:val="00042F22"/>
    <w:rsid w:val="0004367E"/>
    <w:rsid w:val="0004377C"/>
    <w:rsid w:val="00044224"/>
    <w:rsid w:val="000444EF"/>
    <w:rsid w:val="000461C1"/>
    <w:rsid w:val="00046F50"/>
    <w:rsid w:val="000470B3"/>
    <w:rsid w:val="000474B3"/>
    <w:rsid w:val="000503B8"/>
    <w:rsid w:val="000505C9"/>
    <w:rsid w:val="000509BB"/>
    <w:rsid w:val="0005153D"/>
    <w:rsid w:val="00051FB9"/>
    <w:rsid w:val="00052A07"/>
    <w:rsid w:val="00052AC2"/>
    <w:rsid w:val="000534E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C79"/>
    <w:rsid w:val="000646B2"/>
    <w:rsid w:val="0006487E"/>
    <w:rsid w:val="00064BD5"/>
    <w:rsid w:val="00065184"/>
    <w:rsid w:val="00065809"/>
    <w:rsid w:val="000659CB"/>
    <w:rsid w:val="00065E1A"/>
    <w:rsid w:val="0006667E"/>
    <w:rsid w:val="00067574"/>
    <w:rsid w:val="00067877"/>
    <w:rsid w:val="000717DA"/>
    <w:rsid w:val="00071A1C"/>
    <w:rsid w:val="0007278E"/>
    <w:rsid w:val="000738B3"/>
    <w:rsid w:val="00073E11"/>
    <w:rsid w:val="00073E9F"/>
    <w:rsid w:val="00073F8D"/>
    <w:rsid w:val="0007519E"/>
    <w:rsid w:val="00076014"/>
    <w:rsid w:val="0007608F"/>
    <w:rsid w:val="0007615C"/>
    <w:rsid w:val="00077E5F"/>
    <w:rsid w:val="0008036A"/>
    <w:rsid w:val="000810C4"/>
    <w:rsid w:val="00081242"/>
    <w:rsid w:val="00081AE6"/>
    <w:rsid w:val="00082443"/>
    <w:rsid w:val="000827A9"/>
    <w:rsid w:val="00082E89"/>
    <w:rsid w:val="00083749"/>
    <w:rsid w:val="00083BA1"/>
    <w:rsid w:val="000846C8"/>
    <w:rsid w:val="000846E0"/>
    <w:rsid w:val="000855EB"/>
    <w:rsid w:val="00085B52"/>
    <w:rsid w:val="00085C30"/>
    <w:rsid w:val="00086183"/>
    <w:rsid w:val="000866F2"/>
    <w:rsid w:val="000869A1"/>
    <w:rsid w:val="00086BB7"/>
    <w:rsid w:val="0009009F"/>
    <w:rsid w:val="0009104C"/>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5A78"/>
    <w:rsid w:val="000960E0"/>
    <w:rsid w:val="000966F4"/>
    <w:rsid w:val="00096D41"/>
    <w:rsid w:val="000970CA"/>
    <w:rsid w:val="00097AAF"/>
    <w:rsid w:val="00097D05"/>
    <w:rsid w:val="000A07F6"/>
    <w:rsid w:val="000A0AC7"/>
    <w:rsid w:val="000A17FA"/>
    <w:rsid w:val="000A1AFF"/>
    <w:rsid w:val="000A1B7B"/>
    <w:rsid w:val="000A209B"/>
    <w:rsid w:val="000A2772"/>
    <w:rsid w:val="000A2B96"/>
    <w:rsid w:val="000A32DC"/>
    <w:rsid w:val="000A389B"/>
    <w:rsid w:val="000A4941"/>
    <w:rsid w:val="000A56F2"/>
    <w:rsid w:val="000A5FA7"/>
    <w:rsid w:val="000A6188"/>
    <w:rsid w:val="000A6974"/>
    <w:rsid w:val="000A72D6"/>
    <w:rsid w:val="000B1A38"/>
    <w:rsid w:val="000B2719"/>
    <w:rsid w:val="000B3A8F"/>
    <w:rsid w:val="000B4AB9"/>
    <w:rsid w:val="000B58C3"/>
    <w:rsid w:val="000B5CD3"/>
    <w:rsid w:val="000B61E9"/>
    <w:rsid w:val="000B6A52"/>
    <w:rsid w:val="000B6CF7"/>
    <w:rsid w:val="000B7D92"/>
    <w:rsid w:val="000C07D6"/>
    <w:rsid w:val="000C11A3"/>
    <w:rsid w:val="000C1284"/>
    <w:rsid w:val="000C1383"/>
    <w:rsid w:val="000C165A"/>
    <w:rsid w:val="000C1A5A"/>
    <w:rsid w:val="000C27DA"/>
    <w:rsid w:val="000C2E19"/>
    <w:rsid w:val="000C3249"/>
    <w:rsid w:val="000C37CD"/>
    <w:rsid w:val="000C483D"/>
    <w:rsid w:val="000C51D9"/>
    <w:rsid w:val="000C715F"/>
    <w:rsid w:val="000C7870"/>
    <w:rsid w:val="000D019C"/>
    <w:rsid w:val="000D01C1"/>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F06D6"/>
    <w:rsid w:val="000F0EB1"/>
    <w:rsid w:val="000F1106"/>
    <w:rsid w:val="000F142C"/>
    <w:rsid w:val="000F184D"/>
    <w:rsid w:val="000F1873"/>
    <w:rsid w:val="000F26B2"/>
    <w:rsid w:val="000F2B38"/>
    <w:rsid w:val="000F3A6B"/>
    <w:rsid w:val="000F3BE9"/>
    <w:rsid w:val="000F3F6C"/>
    <w:rsid w:val="000F496D"/>
    <w:rsid w:val="000F5EBF"/>
    <w:rsid w:val="000F639A"/>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FE9"/>
    <w:rsid w:val="00113CF4"/>
    <w:rsid w:val="00113F75"/>
    <w:rsid w:val="001153EA"/>
    <w:rsid w:val="00115643"/>
    <w:rsid w:val="001158C0"/>
    <w:rsid w:val="00115FDF"/>
    <w:rsid w:val="00116765"/>
    <w:rsid w:val="00116BBB"/>
    <w:rsid w:val="00116FCC"/>
    <w:rsid w:val="00117282"/>
    <w:rsid w:val="001174BA"/>
    <w:rsid w:val="001200DA"/>
    <w:rsid w:val="00120936"/>
    <w:rsid w:val="001219F5"/>
    <w:rsid w:val="00121A20"/>
    <w:rsid w:val="00121AE1"/>
    <w:rsid w:val="00121B0B"/>
    <w:rsid w:val="00122574"/>
    <w:rsid w:val="001226EF"/>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1EB2"/>
    <w:rsid w:val="00132FD0"/>
    <w:rsid w:val="00133226"/>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B2F"/>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CAD"/>
    <w:rsid w:val="00176F67"/>
    <w:rsid w:val="00177795"/>
    <w:rsid w:val="00180989"/>
    <w:rsid w:val="0018143F"/>
    <w:rsid w:val="0018215E"/>
    <w:rsid w:val="00182595"/>
    <w:rsid w:val="00182FC8"/>
    <w:rsid w:val="001832CC"/>
    <w:rsid w:val="001842B6"/>
    <w:rsid w:val="00184E5F"/>
    <w:rsid w:val="001858ED"/>
    <w:rsid w:val="00185C8D"/>
    <w:rsid w:val="001869C3"/>
    <w:rsid w:val="00186DB0"/>
    <w:rsid w:val="00187C69"/>
    <w:rsid w:val="0019048F"/>
    <w:rsid w:val="00190AC1"/>
    <w:rsid w:val="00192200"/>
    <w:rsid w:val="00192750"/>
    <w:rsid w:val="00193080"/>
    <w:rsid w:val="0019341A"/>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409A"/>
    <w:rsid w:val="001A418E"/>
    <w:rsid w:val="001A5421"/>
    <w:rsid w:val="001A6173"/>
    <w:rsid w:val="001A61C9"/>
    <w:rsid w:val="001A6CBA"/>
    <w:rsid w:val="001A6D54"/>
    <w:rsid w:val="001A7BFD"/>
    <w:rsid w:val="001B0B5F"/>
    <w:rsid w:val="001B0D97"/>
    <w:rsid w:val="001B11C4"/>
    <w:rsid w:val="001B14BE"/>
    <w:rsid w:val="001B19AB"/>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67E"/>
    <w:rsid w:val="001D1AC2"/>
    <w:rsid w:val="001D1F25"/>
    <w:rsid w:val="001D21C4"/>
    <w:rsid w:val="001D23A1"/>
    <w:rsid w:val="001D2B4B"/>
    <w:rsid w:val="001D333A"/>
    <w:rsid w:val="001D3410"/>
    <w:rsid w:val="001D35DD"/>
    <w:rsid w:val="001D371B"/>
    <w:rsid w:val="001D3DB4"/>
    <w:rsid w:val="001D3F23"/>
    <w:rsid w:val="001D5012"/>
    <w:rsid w:val="001D51BA"/>
    <w:rsid w:val="001D556C"/>
    <w:rsid w:val="001D6342"/>
    <w:rsid w:val="001D6D53"/>
    <w:rsid w:val="001D7361"/>
    <w:rsid w:val="001D76CC"/>
    <w:rsid w:val="001D774B"/>
    <w:rsid w:val="001E0847"/>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203"/>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EB7"/>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7C84"/>
    <w:rsid w:val="00217F12"/>
    <w:rsid w:val="00220600"/>
    <w:rsid w:val="0022083B"/>
    <w:rsid w:val="00220B94"/>
    <w:rsid w:val="002211F2"/>
    <w:rsid w:val="00221A2F"/>
    <w:rsid w:val="002224DB"/>
    <w:rsid w:val="00222803"/>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10BC"/>
    <w:rsid w:val="002319E4"/>
    <w:rsid w:val="00231E00"/>
    <w:rsid w:val="00232A8F"/>
    <w:rsid w:val="0023374C"/>
    <w:rsid w:val="00233838"/>
    <w:rsid w:val="0023398C"/>
    <w:rsid w:val="00233CFA"/>
    <w:rsid w:val="00233E61"/>
    <w:rsid w:val="00235632"/>
    <w:rsid w:val="00235872"/>
    <w:rsid w:val="00235971"/>
    <w:rsid w:val="00235C10"/>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0CD"/>
    <w:rsid w:val="002509F5"/>
    <w:rsid w:val="00250BE7"/>
    <w:rsid w:val="00250CB0"/>
    <w:rsid w:val="00250D52"/>
    <w:rsid w:val="00251571"/>
    <w:rsid w:val="00251EA0"/>
    <w:rsid w:val="00251FBC"/>
    <w:rsid w:val="0025250B"/>
    <w:rsid w:val="00253115"/>
    <w:rsid w:val="002531A3"/>
    <w:rsid w:val="00253A77"/>
    <w:rsid w:val="00253F49"/>
    <w:rsid w:val="002542E4"/>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454"/>
    <w:rsid w:val="0026473E"/>
    <w:rsid w:val="00265FD8"/>
    <w:rsid w:val="00266214"/>
    <w:rsid w:val="00266460"/>
    <w:rsid w:val="00266A84"/>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7F4"/>
    <w:rsid w:val="00273F10"/>
    <w:rsid w:val="00274E42"/>
    <w:rsid w:val="002751F0"/>
    <w:rsid w:val="00275572"/>
    <w:rsid w:val="00275F1B"/>
    <w:rsid w:val="0027632E"/>
    <w:rsid w:val="00276C20"/>
    <w:rsid w:val="0027787B"/>
    <w:rsid w:val="002778F9"/>
    <w:rsid w:val="002805F5"/>
    <w:rsid w:val="00280751"/>
    <w:rsid w:val="00280898"/>
    <w:rsid w:val="002809C1"/>
    <w:rsid w:val="00280DA5"/>
    <w:rsid w:val="00280E2B"/>
    <w:rsid w:val="002825A0"/>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1C07"/>
    <w:rsid w:val="00291F3F"/>
    <w:rsid w:val="002921E6"/>
    <w:rsid w:val="00292560"/>
    <w:rsid w:val="00292EB7"/>
    <w:rsid w:val="00293328"/>
    <w:rsid w:val="00293817"/>
    <w:rsid w:val="00294EEE"/>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A9D"/>
    <w:rsid w:val="002A0ED4"/>
    <w:rsid w:val="002A17D5"/>
    <w:rsid w:val="002A1B19"/>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38E"/>
    <w:rsid w:val="002B2432"/>
    <w:rsid w:val="002B24D6"/>
    <w:rsid w:val="002B361C"/>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46F9"/>
    <w:rsid w:val="002D57C3"/>
    <w:rsid w:val="002D5B86"/>
    <w:rsid w:val="002D6C8C"/>
    <w:rsid w:val="002D7052"/>
    <w:rsid w:val="002D7265"/>
    <w:rsid w:val="002D7637"/>
    <w:rsid w:val="002E0031"/>
    <w:rsid w:val="002E0101"/>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EB2"/>
    <w:rsid w:val="002F0FAE"/>
    <w:rsid w:val="002F1210"/>
    <w:rsid w:val="002F13B1"/>
    <w:rsid w:val="002F1EB6"/>
    <w:rsid w:val="002F1F36"/>
    <w:rsid w:val="002F1F4E"/>
    <w:rsid w:val="002F2771"/>
    <w:rsid w:val="002F37A9"/>
    <w:rsid w:val="002F3893"/>
    <w:rsid w:val="002F3EB5"/>
    <w:rsid w:val="002F3FE6"/>
    <w:rsid w:val="002F417B"/>
    <w:rsid w:val="002F417C"/>
    <w:rsid w:val="002F4212"/>
    <w:rsid w:val="002F42DA"/>
    <w:rsid w:val="002F44ED"/>
    <w:rsid w:val="002F4DDB"/>
    <w:rsid w:val="002F5561"/>
    <w:rsid w:val="002F5CDA"/>
    <w:rsid w:val="002F62F5"/>
    <w:rsid w:val="002F6626"/>
    <w:rsid w:val="002F67C2"/>
    <w:rsid w:val="002F7089"/>
    <w:rsid w:val="002F7EEF"/>
    <w:rsid w:val="00300DAC"/>
    <w:rsid w:val="00301257"/>
    <w:rsid w:val="003016D2"/>
    <w:rsid w:val="00301CE6"/>
    <w:rsid w:val="00301D3C"/>
    <w:rsid w:val="0030256B"/>
    <w:rsid w:val="003025D6"/>
    <w:rsid w:val="00302E37"/>
    <w:rsid w:val="00303794"/>
    <w:rsid w:val="00303E39"/>
    <w:rsid w:val="00304037"/>
    <w:rsid w:val="00304338"/>
    <w:rsid w:val="00304710"/>
    <w:rsid w:val="00304DE9"/>
    <w:rsid w:val="0030501F"/>
    <w:rsid w:val="00306548"/>
    <w:rsid w:val="00306E32"/>
    <w:rsid w:val="003070BB"/>
    <w:rsid w:val="00307BA1"/>
    <w:rsid w:val="003106F5"/>
    <w:rsid w:val="00310BF9"/>
    <w:rsid w:val="00310C25"/>
    <w:rsid w:val="00310CEB"/>
    <w:rsid w:val="003113A2"/>
    <w:rsid w:val="00311702"/>
    <w:rsid w:val="00311B31"/>
    <w:rsid w:val="00311BB6"/>
    <w:rsid w:val="00311CCB"/>
    <w:rsid w:val="00311E82"/>
    <w:rsid w:val="003127DA"/>
    <w:rsid w:val="00312FE9"/>
    <w:rsid w:val="0031309F"/>
    <w:rsid w:val="003137D1"/>
    <w:rsid w:val="00313B69"/>
    <w:rsid w:val="00313FD6"/>
    <w:rsid w:val="003143BD"/>
    <w:rsid w:val="00315C3E"/>
    <w:rsid w:val="00317A38"/>
    <w:rsid w:val="00317B01"/>
    <w:rsid w:val="00317E57"/>
    <w:rsid w:val="003203ED"/>
    <w:rsid w:val="00320AD5"/>
    <w:rsid w:val="00321B8C"/>
    <w:rsid w:val="00322900"/>
    <w:rsid w:val="00322B2C"/>
    <w:rsid w:val="00322C9F"/>
    <w:rsid w:val="00323D2F"/>
    <w:rsid w:val="00323DF6"/>
    <w:rsid w:val="00323F80"/>
    <w:rsid w:val="00324456"/>
    <w:rsid w:val="00324D23"/>
    <w:rsid w:val="00324E1B"/>
    <w:rsid w:val="0032505B"/>
    <w:rsid w:val="003250A8"/>
    <w:rsid w:val="00327884"/>
    <w:rsid w:val="00327F51"/>
    <w:rsid w:val="0033074D"/>
    <w:rsid w:val="00331751"/>
    <w:rsid w:val="00331D5D"/>
    <w:rsid w:val="0033243F"/>
    <w:rsid w:val="00332EAB"/>
    <w:rsid w:val="0033324A"/>
    <w:rsid w:val="003336DC"/>
    <w:rsid w:val="00333A1F"/>
    <w:rsid w:val="00333E51"/>
    <w:rsid w:val="00334579"/>
    <w:rsid w:val="00335858"/>
    <w:rsid w:val="0033586F"/>
    <w:rsid w:val="00336174"/>
    <w:rsid w:val="0033640D"/>
    <w:rsid w:val="003364D1"/>
    <w:rsid w:val="00336BDA"/>
    <w:rsid w:val="00337A13"/>
    <w:rsid w:val="003405A9"/>
    <w:rsid w:val="003409B2"/>
    <w:rsid w:val="00341CE2"/>
    <w:rsid w:val="00342BD7"/>
    <w:rsid w:val="00343A07"/>
    <w:rsid w:val="00345015"/>
    <w:rsid w:val="00345333"/>
    <w:rsid w:val="00345B74"/>
    <w:rsid w:val="00346DB5"/>
    <w:rsid w:val="003476F9"/>
    <w:rsid w:val="003477B1"/>
    <w:rsid w:val="00347968"/>
    <w:rsid w:val="00347AAD"/>
    <w:rsid w:val="00350AA0"/>
    <w:rsid w:val="00351671"/>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0D3"/>
    <w:rsid w:val="003662BC"/>
    <w:rsid w:val="00366657"/>
    <w:rsid w:val="0036691E"/>
    <w:rsid w:val="003675AE"/>
    <w:rsid w:val="00367C7A"/>
    <w:rsid w:val="003700FC"/>
    <w:rsid w:val="00370300"/>
    <w:rsid w:val="00370E47"/>
    <w:rsid w:val="0037104F"/>
    <w:rsid w:val="0037175B"/>
    <w:rsid w:val="00371A50"/>
    <w:rsid w:val="00372B5A"/>
    <w:rsid w:val="0037313D"/>
    <w:rsid w:val="003739D8"/>
    <w:rsid w:val="00373BA9"/>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1E1A"/>
    <w:rsid w:val="00383625"/>
    <w:rsid w:val="00383ED4"/>
    <w:rsid w:val="0038492A"/>
    <w:rsid w:val="00384E23"/>
    <w:rsid w:val="003850A4"/>
    <w:rsid w:val="00385BF0"/>
    <w:rsid w:val="003869E2"/>
    <w:rsid w:val="00387DDC"/>
    <w:rsid w:val="0039016E"/>
    <w:rsid w:val="00390826"/>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1740"/>
    <w:rsid w:val="003A2223"/>
    <w:rsid w:val="003A22BC"/>
    <w:rsid w:val="003A238F"/>
    <w:rsid w:val="003A2A0F"/>
    <w:rsid w:val="003A3742"/>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2E9C"/>
    <w:rsid w:val="003C3066"/>
    <w:rsid w:val="003C33CB"/>
    <w:rsid w:val="003C379E"/>
    <w:rsid w:val="003C3AC4"/>
    <w:rsid w:val="003C4295"/>
    <w:rsid w:val="003C454F"/>
    <w:rsid w:val="003C460F"/>
    <w:rsid w:val="003C46B0"/>
    <w:rsid w:val="003C5001"/>
    <w:rsid w:val="003C61BF"/>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FC"/>
    <w:rsid w:val="003E55E4"/>
    <w:rsid w:val="003E56EC"/>
    <w:rsid w:val="003E59C0"/>
    <w:rsid w:val="003E669F"/>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A17"/>
    <w:rsid w:val="003F3B63"/>
    <w:rsid w:val="003F3EFD"/>
    <w:rsid w:val="003F4D56"/>
    <w:rsid w:val="003F4FB7"/>
    <w:rsid w:val="003F67E5"/>
    <w:rsid w:val="003F6851"/>
    <w:rsid w:val="003F6BBE"/>
    <w:rsid w:val="003F723F"/>
    <w:rsid w:val="003F7761"/>
    <w:rsid w:val="003F7AC9"/>
    <w:rsid w:val="003F7FC6"/>
    <w:rsid w:val="004000E8"/>
    <w:rsid w:val="004012D1"/>
    <w:rsid w:val="00402E2B"/>
    <w:rsid w:val="00402F5D"/>
    <w:rsid w:val="004031DE"/>
    <w:rsid w:val="00403A7E"/>
    <w:rsid w:val="00404D0A"/>
    <w:rsid w:val="0040512B"/>
    <w:rsid w:val="00405BA5"/>
    <w:rsid w:val="00405CA5"/>
    <w:rsid w:val="00406038"/>
    <w:rsid w:val="004071F0"/>
    <w:rsid w:val="00407A72"/>
    <w:rsid w:val="00407AE9"/>
    <w:rsid w:val="00407CD3"/>
    <w:rsid w:val="00407D1E"/>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4AFB"/>
    <w:rsid w:val="004154C5"/>
    <w:rsid w:val="004159EB"/>
    <w:rsid w:val="00415B7E"/>
    <w:rsid w:val="004164B3"/>
    <w:rsid w:val="004176EB"/>
    <w:rsid w:val="00417919"/>
    <w:rsid w:val="004201FE"/>
    <w:rsid w:val="00420E37"/>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A45"/>
    <w:rsid w:val="00427B7B"/>
    <w:rsid w:val="00430217"/>
    <w:rsid w:val="004319E2"/>
    <w:rsid w:val="004320D2"/>
    <w:rsid w:val="004322B6"/>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4074"/>
    <w:rsid w:val="00444F56"/>
    <w:rsid w:val="00445838"/>
    <w:rsid w:val="00445839"/>
    <w:rsid w:val="00446488"/>
    <w:rsid w:val="00446BCF"/>
    <w:rsid w:val="004474C1"/>
    <w:rsid w:val="004477D5"/>
    <w:rsid w:val="00447EDF"/>
    <w:rsid w:val="00447F57"/>
    <w:rsid w:val="004517AA"/>
    <w:rsid w:val="00451DB9"/>
    <w:rsid w:val="00451F3D"/>
    <w:rsid w:val="0045219A"/>
    <w:rsid w:val="00452CAC"/>
    <w:rsid w:val="00453003"/>
    <w:rsid w:val="00453849"/>
    <w:rsid w:val="00454D4C"/>
    <w:rsid w:val="004550CD"/>
    <w:rsid w:val="00455145"/>
    <w:rsid w:val="00455E45"/>
    <w:rsid w:val="00456C36"/>
    <w:rsid w:val="00457481"/>
    <w:rsid w:val="00457565"/>
    <w:rsid w:val="00457976"/>
    <w:rsid w:val="00457AD4"/>
    <w:rsid w:val="00457B71"/>
    <w:rsid w:val="00460334"/>
    <w:rsid w:val="004609A3"/>
    <w:rsid w:val="00460D3C"/>
    <w:rsid w:val="004617F6"/>
    <w:rsid w:val="00461B0C"/>
    <w:rsid w:val="00461E1B"/>
    <w:rsid w:val="0046221B"/>
    <w:rsid w:val="00462755"/>
    <w:rsid w:val="004627AF"/>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2E9"/>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91B"/>
    <w:rsid w:val="00492BC5"/>
    <w:rsid w:val="00492D58"/>
    <w:rsid w:val="004932E3"/>
    <w:rsid w:val="00493819"/>
    <w:rsid w:val="00494066"/>
    <w:rsid w:val="0049532F"/>
    <w:rsid w:val="004957C8"/>
    <w:rsid w:val="00495A77"/>
    <w:rsid w:val="004961A9"/>
    <w:rsid w:val="004964F1"/>
    <w:rsid w:val="00496B9A"/>
    <w:rsid w:val="004A0E54"/>
    <w:rsid w:val="004A1367"/>
    <w:rsid w:val="004A1612"/>
    <w:rsid w:val="004A16BC"/>
    <w:rsid w:val="004A1C96"/>
    <w:rsid w:val="004A1E83"/>
    <w:rsid w:val="004A21C1"/>
    <w:rsid w:val="004A260C"/>
    <w:rsid w:val="004A2B94"/>
    <w:rsid w:val="004A4186"/>
    <w:rsid w:val="004A41CD"/>
    <w:rsid w:val="004A5941"/>
    <w:rsid w:val="004A61A7"/>
    <w:rsid w:val="004A7CEF"/>
    <w:rsid w:val="004B0C24"/>
    <w:rsid w:val="004B140A"/>
    <w:rsid w:val="004B192B"/>
    <w:rsid w:val="004B1999"/>
    <w:rsid w:val="004B1AAD"/>
    <w:rsid w:val="004B1EB4"/>
    <w:rsid w:val="004B29D1"/>
    <w:rsid w:val="004B3F6B"/>
    <w:rsid w:val="004B50E1"/>
    <w:rsid w:val="004B51B2"/>
    <w:rsid w:val="004B556D"/>
    <w:rsid w:val="004B58D3"/>
    <w:rsid w:val="004B63B7"/>
    <w:rsid w:val="004B69CC"/>
    <w:rsid w:val="004B6DEA"/>
    <w:rsid w:val="004B6F96"/>
    <w:rsid w:val="004B7C0C"/>
    <w:rsid w:val="004B7F0A"/>
    <w:rsid w:val="004B7F1A"/>
    <w:rsid w:val="004C0366"/>
    <w:rsid w:val="004C14C3"/>
    <w:rsid w:val="004C16B1"/>
    <w:rsid w:val="004C2515"/>
    <w:rsid w:val="004C29DC"/>
    <w:rsid w:val="004C2EDB"/>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4C87"/>
    <w:rsid w:val="004D5745"/>
    <w:rsid w:val="004D672E"/>
    <w:rsid w:val="004D73CB"/>
    <w:rsid w:val="004D796E"/>
    <w:rsid w:val="004D7C3F"/>
    <w:rsid w:val="004D7EBD"/>
    <w:rsid w:val="004E1402"/>
    <w:rsid w:val="004E16B5"/>
    <w:rsid w:val="004E16FA"/>
    <w:rsid w:val="004E188C"/>
    <w:rsid w:val="004E2680"/>
    <w:rsid w:val="004E28F9"/>
    <w:rsid w:val="004E2911"/>
    <w:rsid w:val="004E2A75"/>
    <w:rsid w:val="004E2DB7"/>
    <w:rsid w:val="004E3357"/>
    <w:rsid w:val="004E3448"/>
    <w:rsid w:val="004E36CA"/>
    <w:rsid w:val="004E462E"/>
    <w:rsid w:val="004E5327"/>
    <w:rsid w:val="004E56DC"/>
    <w:rsid w:val="004E5B21"/>
    <w:rsid w:val="004E76F4"/>
    <w:rsid w:val="004E7F6C"/>
    <w:rsid w:val="004F0B4E"/>
    <w:rsid w:val="004F0B6C"/>
    <w:rsid w:val="004F10CF"/>
    <w:rsid w:val="004F1557"/>
    <w:rsid w:val="004F2078"/>
    <w:rsid w:val="004F28B2"/>
    <w:rsid w:val="004F2965"/>
    <w:rsid w:val="004F29B4"/>
    <w:rsid w:val="004F3888"/>
    <w:rsid w:val="004F3946"/>
    <w:rsid w:val="004F44BE"/>
    <w:rsid w:val="004F4756"/>
    <w:rsid w:val="004F491F"/>
    <w:rsid w:val="004F4981"/>
    <w:rsid w:val="004F4DA3"/>
    <w:rsid w:val="004F508B"/>
    <w:rsid w:val="004F5B00"/>
    <w:rsid w:val="004F5C67"/>
    <w:rsid w:val="004F6769"/>
    <w:rsid w:val="004F6C6C"/>
    <w:rsid w:val="004F6EC9"/>
    <w:rsid w:val="004F729D"/>
    <w:rsid w:val="005000AF"/>
    <w:rsid w:val="00500E06"/>
    <w:rsid w:val="00501540"/>
    <w:rsid w:val="00502025"/>
    <w:rsid w:val="00502D73"/>
    <w:rsid w:val="0050308B"/>
    <w:rsid w:val="00504A07"/>
    <w:rsid w:val="00504C99"/>
    <w:rsid w:val="00504DEB"/>
    <w:rsid w:val="00504E6F"/>
    <w:rsid w:val="00505C27"/>
    <w:rsid w:val="00506557"/>
    <w:rsid w:val="0050677A"/>
    <w:rsid w:val="00506858"/>
    <w:rsid w:val="0050696F"/>
    <w:rsid w:val="005072CE"/>
    <w:rsid w:val="0051024C"/>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2D92"/>
    <w:rsid w:val="005243DB"/>
    <w:rsid w:val="0052481D"/>
    <w:rsid w:val="00525782"/>
    <w:rsid w:val="00525E09"/>
    <w:rsid w:val="00526207"/>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68F8"/>
    <w:rsid w:val="00557D62"/>
    <w:rsid w:val="00557E7B"/>
    <w:rsid w:val="005607E1"/>
    <w:rsid w:val="00560E4D"/>
    <w:rsid w:val="0056121F"/>
    <w:rsid w:val="00561349"/>
    <w:rsid w:val="0056138C"/>
    <w:rsid w:val="005613C4"/>
    <w:rsid w:val="005614AF"/>
    <w:rsid w:val="00562125"/>
    <w:rsid w:val="00563C8D"/>
    <w:rsid w:val="0056414F"/>
    <w:rsid w:val="005643A9"/>
    <w:rsid w:val="00564DD7"/>
    <w:rsid w:val="00565D18"/>
    <w:rsid w:val="0056617B"/>
    <w:rsid w:val="005663D5"/>
    <w:rsid w:val="005664CA"/>
    <w:rsid w:val="005665C5"/>
    <w:rsid w:val="0056733A"/>
    <w:rsid w:val="00567CCF"/>
    <w:rsid w:val="005702FB"/>
    <w:rsid w:val="005705A2"/>
    <w:rsid w:val="00570BF3"/>
    <w:rsid w:val="00570C2A"/>
    <w:rsid w:val="00570DFC"/>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6B9"/>
    <w:rsid w:val="00592C33"/>
    <w:rsid w:val="005935A4"/>
    <w:rsid w:val="005936FB"/>
    <w:rsid w:val="00594252"/>
    <w:rsid w:val="005948C2"/>
    <w:rsid w:val="00594E97"/>
    <w:rsid w:val="00594FFB"/>
    <w:rsid w:val="0059549A"/>
    <w:rsid w:val="00595877"/>
    <w:rsid w:val="00595B14"/>
    <w:rsid w:val="00595DCA"/>
    <w:rsid w:val="00596ABE"/>
    <w:rsid w:val="00596D6B"/>
    <w:rsid w:val="00596FA1"/>
    <w:rsid w:val="0059734A"/>
    <w:rsid w:val="005975FB"/>
    <w:rsid w:val="0059779B"/>
    <w:rsid w:val="005978E8"/>
    <w:rsid w:val="00597AD9"/>
    <w:rsid w:val="005A04BF"/>
    <w:rsid w:val="005A113D"/>
    <w:rsid w:val="005A12D3"/>
    <w:rsid w:val="005A1979"/>
    <w:rsid w:val="005A209A"/>
    <w:rsid w:val="005A22B5"/>
    <w:rsid w:val="005A2347"/>
    <w:rsid w:val="005A2A1F"/>
    <w:rsid w:val="005A2C4D"/>
    <w:rsid w:val="005A35E9"/>
    <w:rsid w:val="005A386A"/>
    <w:rsid w:val="005A42A3"/>
    <w:rsid w:val="005A4B5A"/>
    <w:rsid w:val="005A54BB"/>
    <w:rsid w:val="005A5E85"/>
    <w:rsid w:val="005A662D"/>
    <w:rsid w:val="005A6C45"/>
    <w:rsid w:val="005A6E65"/>
    <w:rsid w:val="005A7219"/>
    <w:rsid w:val="005A745C"/>
    <w:rsid w:val="005A78CA"/>
    <w:rsid w:val="005B00F7"/>
    <w:rsid w:val="005B0103"/>
    <w:rsid w:val="005B045C"/>
    <w:rsid w:val="005B07EE"/>
    <w:rsid w:val="005B0E95"/>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58C"/>
    <w:rsid w:val="005C083C"/>
    <w:rsid w:val="005C0D8C"/>
    <w:rsid w:val="005C1822"/>
    <w:rsid w:val="005C2324"/>
    <w:rsid w:val="005C24C1"/>
    <w:rsid w:val="005C2C3C"/>
    <w:rsid w:val="005C377E"/>
    <w:rsid w:val="005C480E"/>
    <w:rsid w:val="005C5143"/>
    <w:rsid w:val="005C5A4F"/>
    <w:rsid w:val="005C5A5E"/>
    <w:rsid w:val="005C5E82"/>
    <w:rsid w:val="005C6023"/>
    <w:rsid w:val="005C6BCE"/>
    <w:rsid w:val="005C6D68"/>
    <w:rsid w:val="005C7029"/>
    <w:rsid w:val="005C74FB"/>
    <w:rsid w:val="005C7752"/>
    <w:rsid w:val="005C78F9"/>
    <w:rsid w:val="005C78FE"/>
    <w:rsid w:val="005C7F26"/>
    <w:rsid w:val="005D0654"/>
    <w:rsid w:val="005D085F"/>
    <w:rsid w:val="005D0FA1"/>
    <w:rsid w:val="005D1602"/>
    <w:rsid w:val="005D1F90"/>
    <w:rsid w:val="005D259C"/>
    <w:rsid w:val="005D2953"/>
    <w:rsid w:val="005D2BCE"/>
    <w:rsid w:val="005D309C"/>
    <w:rsid w:val="005D3E19"/>
    <w:rsid w:val="005D4FEE"/>
    <w:rsid w:val="005D57DB"/>
    <w:rsid w:val="005D689A"/>
    <w:rsid w:val="005D6F4A"/>
    <w:rsid w:val="005D7306"/>
    <w:rsid w:val="005E279B"/>
    <w:rsid w:val="005E339D"/>
    <w:rsid w:val="005E385F"/>
    <w:rsid w:val="005E405F"/>
    <w:rsid w:val="005E4801"/>
    <w:rsid w:val="005E4D91"/>
    <w:rsid w:val="005E4ECB"/>
    <w:rsid w:val="005E5072"/>
    <w:rsid w:val="005E5349"/>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4DB"/>
    <w:rsid w:val="00601906"/>
    <w:rsid w:val="0060283C"/>
    <w:rsid w:val="006033E0"/>
    <w:rsid w:val="00603BE4"/>
    <w:rsid w:val="006048D0"/>
    <w:rsid w:val="00604A23"/>
    <w:rsid w:val="00604AF0"/>
    <w:rsid w:val="00604D51"/>
    <w:rsid w:val="00604F14"/>
    <w:rsid w:val="006057D3"/>
    <w:rsid w:val="00605F62"/>
    <w:rsid w:val="00605FF4"/>
    <w:rsid w:val="00606094"/>
    <w:rsid w:val="00606E37"/>
    <w:rsid w:val="0060741F"/>
    <w:rsid w:val="00607C83"/>
    <w:rsid w:val="006102C9"/>
    <w:rsid w:val="00610C27"/>
    <w:rsid w:val="00611AA3"/>
    <w:rsid w:val="00611B83"/>
    <w:rsid w:val="006121D5"/>
    <w:rsid w:val="00612656"/>
    <w:rsid w:val="00612A08"/>
    <w:rsid w:val="00612B59"/>
    <w:rsid w:val="00613257"/>
    <w:rsid w:val="00614826"/>
    <w:rsid w:val="00615223"/>
    <w:rsid w:val="006159A7"/>
    <w:rsid w:val="00617415"/>
    <w:rsid w:val="00617950"/>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4F67"/>
    <w:rsid w:val="006250F2"/>
    <w:rsid w:val="006251C7"/>
    <w:rsid w:val="00626388"/>
    <w:rsid w:val="00626B6C"/>
    <w:rsid w:val="0062712A"/>
    <w:rsid w:val="0062725E"/>
    <w:rsid w:val="00627ADC"/>
    <w:rsid w:val="00630001"/>
    <w:rsid w:val="00630C1D"/>
    <w:rsid w:val="00631179"/>
    <w:rsid w:val="006311B3"/>
    <w:rsid w:val="006317F8"/>
    <w:rsid w:val="00631C6B"/>
    <w:rsid w:val="00632022"/>
    <w:rsid w:val="00632155"/>
    <w:rsid w:val="00632415"/>
    <w:rsid w:val="0063284C"/>
    <w:rsid w:val="0063309B"/>
    <w:rsid w:val="006338E7"/>
    <w:rsid w:val="006338FB"/>
    <w:rsid w:val="006345DA"/>
    <w:rsid w:val="006347E6"/>
    <w:rsid w:val="00634AC8"/>
    <w:rsid w:val="00635483"/>
    <w:rsid w:val="00636087"/>
    <w:rsid w:val="00636398"/>
    <w:rsid w:val="00636432"/>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24E"/>
    <w:rsid w:val="00646EB7"/>
    <w:rsid w:val="00647165"/>
    <w:rsid w:val="0064788F"/>
    <w:rsid w:val="00647EB5"/>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3ECE"/>
    <w:rsid w:val="0068429A"/>
    <w:rsid w:val="0068434D"/>
    <w:rsid w:val="006845BD"/>
    <w:rsid w:val="006848CD"/>
    <w:rsid w:val="00684B60"/>
    <w:rsid w:val="00684CDB"/>
    <w:rsid w:val="006858A0"/>
    <w:rsid w:val="00686808"/>
    <w:rsid w:val="00686D5F"/>
    <w:rsid w:val="00686D9A"/>
    <w:rsid w:val="0069110B"/>
    <w:rsid w:val="0069251C"/>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97FC4"/>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6F24"/>
    <w:rsid w:val="006A7AFF"/>
    <w:rsid w:val="006A7B05"/>
    <w:rsid w:val="006B16E9"/>
    <w:rsid w:val="006B1816"/>
    <w:rsid w:val="006B1E72"/>
    <w:rsid w:val="006B2099"/>
    <w:rsid w:val="006B2866"/>
    <w:rsid w:val="006B28C6"/>
    <w:rsid w:val="006B3079"/>
    <w:rsid w:val="006B50CF"/>
    <w:rsid w:val="006B5213"/>
    <w:rsid w:val="006B54E9"/>
    <w:rsid w:val="006B5530"/>
    <w:rsid w:val="006B68A1"/>
    <w:rsid w:val="006B694F"/>
    <w:rsid w:val="006B7DE8"/>
    <w:rsid w:val="006B7E22"/>
    <w:rsid w:val="006C03B8"/>
    <w:rsid w:val="006C14C0"/>
    <w:rsid w:val="006C1B6D"/>
    <w:rsid w:val="006C1CA0"/>
    <w:rsid w:val="006C1F13"/>
    <w:rsid w:val="006C2B2E"/>
    <w:rsid w:val="006C339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236F"/>
    <w:rsid w:val="006D326B"/>
    <w:rsid w:val="006D3FD5"/>
    <w:rsid w:val="006D4277"/>
    <w:rsid w:val="006D6137"/>
    <w:rsid w:val="006D69D0"/>
    <w:rsid w:val="006D6EEC"/>
    <w:rsid w:val="006D6F08"/>
    <w:rsid w:val="006D73ED"/>
    <w:rsid w:val="006D78B9"/>
    <w:rsid w:val="006D79B3"/>
    <w:rsid w:val="006E062C"/>
    <w:rsid w:val="006E0CC5"/>
    <w:rsid w:val="006E0DE6"/>
    <w:rsid w:val="006E28B7"/>
    <w:rsid w:val="006E3079"/>
    <w:rsid w:val="006E31A4"/>
    <w:rsid w:val="006E3302"/>
    <w:rsid w:val="006E3310"/>
    <w:rsid w:val="006E3E37"/>
    <w:rsid w:val="006E4392"/>
    <w:rsid w:val="006E4E39"/>
    <w:rsid w:val="006E4F14"/>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6FED"/>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2CB9"/>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3B9D"/>
    <w:rsid w:val="00734801"/>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392B"/>
    <w:rsid w:val="00743DC4"/>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4C5"/>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7013F"/>
    <w:rsid w:val="007708DF"/>
    <w:rsid w:val="007710B7"/>
    <w:rsid w:val="00771371"/>
    <w:rsid w:val="007717B7"/>
    <w:rsid w:val="007717C0"/>
    <w:rsid w:val="00771DE9"/>
    <w:rsid w:val="007730BD"/>
    <w:rsid w:val="00773C0A"/>
    <w:rsid w:val="007753B5"/>
    <w:rsid w:val="007755F2"/>
    <w:rsid w:val="00776469"/>
    <w:rsid w:val="00776971"/>
    <w:rsid w:val="00776EAB"/>
    <w:rsid w:val="0077725D"/>
    <w:rsid w:val="00777CA0"/>
    <w:rsid w:val="00777D77"/>
    <w:rsid w:val="00780BB0"/>
    <w:rsid w:val="00780BFD"/>
    <w:rsid w:val="00780F4B"/>
    <w:rsid w:val="0078177E"/>
    <w:rsid w:val="007818BE"/>
    <w:rsid w:val="00781CC8"/>
    <w:rsid w:val="00782ABD"/>
    <w:rsid w:val="00782FCE"/>
    <w:rsid w:val="0078304C"/>
    <w:rsid w:val="0078363D"/>
    <w:rsid w:val="00783673"/>
    <w:rsid w:val="007836D9"/>
    <w:rsid w:val="00784795"/>
    <w:rsid w:val="00784A47"/>
    <w:rsid w:val="00785004"/>
    <w:rsid w:val="00785158"/>
    <w:rsid w:val="00785490"/>
    <w:rsid w:val="0078549A"/>
    <w:rsid w:val="007867A4"/>
    <w:rsid w:val="0079029C"/>
    <w:rsid w:val="00790E12"/>
    <w:rsid w:val="00790F2A"/>
    <w:rsid w:val="007912CF"/>
    <w:rsid w:val="00791DCB"/>
    <w:rsid w:val="00791F25"/>
    <w:rsid w:val="007925EA"/>
    <w:rsid w:val="00793853"/>
    <w:rsid w:val="00793CD8"/>
    <w:rsid w:val="00794490"/>
    <w:rsid w:val="00794E52"/>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306F"/>
    <w:rsid w:val="007A3647"/>
    <w:rsid w:val="007A41E4"/>
    <w:rsid w:val="007A43A6"/>
    <w:rsid w:val="007A495C"/>
    <w:rsid w:val="007A58A6"/>
    <w:rsid w:val="007A5FF6"/>
    <w:rsid w:val="007A68B0"/>
    <w:rsid w:val="007A7B60"/>
    <w:rsid w:val="007A7BDD"/>
    <w:rsid w:val="007A7F89"/>
    <w:rsid w:val="007B0DD7"/>
    <w:rsid w:val="007B0FF7"/>
    <w:rsid w:val="007B115B"/>
    <w:rsid w:val="007B16B6"/>
    <w:rsid w:val="007B1925"/>
    <w:rsid w:val="007B1B6A"/>
    <w:rsid w:val="007B1C12"/>
    <w:rsid w:val="007B231D"/>
    <w:rsid w:val="007B2568"/>
    <w:rsid w:val="007B35A4"/>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626"/>
    <w:rsid w:val="007D1B33"/>
    <w:rsid w:val="007D24CB"/>
    <w:rsid w:val="007D268F"/>
    <w:rsid w:val="007D2ABA"/>
    <w:rsid w:val="007D311E"/>
    <w:rsid w:val="007D39B5"/>
    <w:rsid w:val="007D3DA5"/>
    <w:rsid w:val="007D3F4F"/>
    <w:rsid w:val="007D4516"/>
    <w:rsid w:val="007D4A74"/>
    <w:rsid w:val="007D5901"/>
    <w:rsid w:val="007D5F84"/>
    <w:rsid w:val="007D6096"/>
    <w:rsid w:val="007D6575"/>
    <w:rsid w:val="007D67A1"/>
    <w:rsid w:val="007D6B37"/>
    <w:rsid w:val="007D6C67"/>
    <w:rsid w:val="007D70A2"/>
    <w:rsid w:val="007D7526"/>
    <w:rsid w:val="007D7CB6"/>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1564"/>
    <w:rsid w:val="007F2516"/>
    <w:rsid w:val="007F2617"/>
    <w:rsid w:val="007F273B"/>
    <w:rsid w:val="007F2922"/>
    <w:rsid w:val="007F2BA4"/>
    <w:rsid w:val="007F3374"/>
    <w:rsid w:val="007F38AF"/>
    <w:rsid w:val="007F3B89"/>
    <w:rsid w:val="007F3C98"/>
    <w:rsid w:val="007F4C41"/>
    <w:rsid w:val="007F4DAB"/>
    <w:rsid w:val="007F64B9"/>
    <w:rsid w:val="007F71CE"/>
    <w:rsid w:val="007F75EF"/>
    <w:rsid w:val="007F774B"/>
    <w:rsid w:val="007F77D6"/>
    <w:rsid w:val="007F7F27"/>
    <w:rsid w:val="0080078F"/>
    <w:rsid w:val="008015DF"/>
    <w:rsid w:val="00801F95"/>
    <w:rsid w:val="008020FE"/>
    <w:rsid w:val="008029EE"/>
    <w:rsid w:val="008035AD"/>
    <w:rsid w:val="008035DA"/>
    <w:rsid w:val="008038B5"/>
    <w:rsid w:val="00803F9A"/>
    <w:rsid w:val="00803FAE"/>
    <w:rsid w:val="00803FC4"/>
    <w:rsid w:val="008047FC"/>
    <w:rsid w:val="00804A34"/>
    <w:rsid w:val="008054A8"/>
    <w:rsid w:val="008056FB"/>
    <w:rsid w:val="0080605F"/>
    <w:rsid w:val="00806CEA"/>
    <w:rsid w:val="00806D00"/>
    <w:rsid w:val="00806F4B"/>
    <w:rsid w:val="0080763E"/>
    <w:rsid w:val="00807786"/>
    <w:rsid w:val="008102E6"/>
    <w:rsid w:val="008104DC"/>
    <w:rsid w:val="0081132E"/>
    <w:rsid w:val="00811E00"/>
    <w:rsid w:val="00811FCB"/>
    <w:rsid w:val="008120BE"/>
    <w:rsid w:val="0081252B"/>
    <w:rsid w:val="008141E0"/>
    <w:rsid w:val="00815792"/>
    <w:rsid w:val="0081583D"/>
    <w:rsid w:val="008158D6"/>
    <w:rsid w:val="00816061"/>
    <w:rsid w:val="00816ABE"/>
    <w:rsid w:val="00816B4A"/>
    <w:rsid w:val="00817196"/>
    <w:rsid w:val="008178A4"/>
    <w:rsid w:val="00817A4D"/>
    <w:rsid w:val="00817EDE"/>
    <w:rsid w:val="00820938"/>
    <w:rsid w:val="00820A44"/>
    <w:rsid w:val="00820DF6"/>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38AC"/>
    <w:rsid w:val="00834972"/>
    <w:rsid w:val="00835327"/>
    <w:rsid w:val="00835DD6"/>
    <w:rsid w:val="00836587"/>
    <w:rsid w:val="008367F2"/>
    <w:rsid w:val="008376AC"/>
    <w:rsid w:val="008379EE"/>
    <w:rsid w:val="00841B0A"/>
    <w:rsid w:val="00841CC9"/>
    <w:rsid w:val="0084221B"/>
    <w:rsid w:val="008433AF"/>
    <w:rsid w:val="008436F6"/>
    <w:rsid w:val="0084405D"/>
    <w:rsid w:val="008441EB"/>
    <w:rsid w:val="008444E8"/>
    <w:rsid w:val="008448B4"/>
    <w:rsid w:val="00844E80"/>
    <w:rsid w:val="00845378"/>
    <w:rsid w:val="0084537C"/>
    <w:rsid w:val="00846090"/>
    <w:rsid w:val="0084614F"/>
    <w:rsid w:val="00846723"/>
    <w:rsid w:val="00846C9B"/>
    <w:rsid w:val="00846FE7"/>
    <w:rsid w:val="00850246"/>
    <w:rsid w:val="00850CEC"/>
    <w:rsid w:val="00850E36"/>
    <w:rsid w:val="00850E45"/>
    <w:rsid w:val="00850EF8"/>
    <w:rsid w:val="008519C5"/>
    <w:rsid w:val="00851C1E"/>
    <w:rsid w:val="00851D56"/>
    <w:rsid w:val="00853140"/>
    <w:rsid w:val="00853502"/>
    <w:rsid w:val="008537ED"/>
    <w:rsid w:val="00855B90"/>
    <w:rsid w:val="00855EF4"/>
    <w:rsid w:val="008563B7"/>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1DCE"/>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D89"/>
    <w:rsid w:val="008850EF"/>
    <w:rsid w:val="00885820"/>
    <w:rsid w:val="0088638F"/>
    <w:rsid w:val="00886784"/>
    <w:rsid w:val="00886A69"/>
    <w:rsid w:val="0088730D"/>
    <w:rsid w:val="008878B2"/>
    <w:rsid w:val="00887D9D"/>
    <w:rsid w:val="0089067A"/>
    <w:rsid w:val="00891466"/>
    <w:rsid w:val="00891B88"/>
    <w:rsid w:val="008929DB"/>
    <w:rsid w:val="008935D9"/>
    <w:rsid w:val="00894A88"/>
    <w:rsid w:val="00894C10"/>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2B69"/>
    <w:rsid w:val="008D2EB2"/>
    <w:rsid w:val="008D34F1"/>
    <w:rsid w:val="008D39D8"/>
    <w:rsid w:val="008D491D"/>
    <w:rsid w:val="008D4E14"/>
    <w:rsid w:val="008D4F4A"/>
    <w:rsid w:val="008D52DC"/>
    <w:rsid w:val="008D56B3"/>
    <w:rsid w:val="008D62F3"/>
    <w:rsid w:val="008D6A27"/>
    <w:rsid w:val="008D6B97"/>
    <w:rsid w:val="008D6D1A"/>
    <w:rsid w:val="008D6F18"/>
    <w:rsid w:val="008D727B"/>
    <w:rsid w:val="008D7330"/>
    <w:rsid w:val="008D7E8D"/>
    <w:rsid w:val="008E029F"/>
    <w:rsid w:val="008E065E"/>
    <w:rsid w:val="008E0702"/>
    <w:rsid w:val="008E0927"/>
    <w:rsid w:val="008E1329"/>
    <w:rsid w:val="008E186F"/>
    <w:rsid w:val="008E1909"/>
    <w:rsid w:val="008E19D0"/>
    <w:rsid w:val="008E2644"/>
    <w:rsid w:val="008E2E60"/>
    <w:rsid w:val="008E3B61"/>
    <w:rsid w:val="008E3D3E"/>
    <w:rsid w:val="008E428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77A"/>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D5F"/>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A4B"/>
    <w:rsid w:val="00911DFB"/>
    <w:rsid w:val="00911F5A"/>
    <w:rsid w:val="009135B9"/>
    <w:rsid w:val="009139D9"/>
    <w:rsid w:val="009140E8"/>
    <w:rsid w:val="0091463A"/>
    <w:rsid w:val="0091494B"/>
    <w:rsid w:val="00914AD8"/>
    <w:rsid w:val="00914BCD"/>
    <w:rsid w:val="00915172"/>
    <w:rsid w:val="00915D25"/>
    <w:rsid w:val="0091601E"/>
    <w:rsid w:val="00916079"/>
    <w:rsid w:val="00916E73"/>
    <w:rsid w:val="009170FD"/>
    <w:rsid w:val="00917468"/>
    <w:rsid w:val="00917776"/>
    <w:rsid w:val="00917CE9"/>
    <w:rsid w:val="00920BF2"/>
    <w:rsid w:val="00920DE7"/>
    <w:rsid w:val="0092124D"/>
    <w:rsid w:val="00922010"/>
    <w:rsid w:val="0092314B"/>
    <w:rsid w:val="00923A4E"/>
    <w:rsid w:val="00923D67"/>
    <w:rsid w:val="00924DAC"/>
    <w:rsid w:val="009252AA"/>
    <w:rsid w:val="009253EC"/>
    <w:rsid w:val="009265E0"/>
    <w:rsid w:val="00926913"/>
    <w:rsid w:val="00926BF5"/>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47"/>
    <w:rsid w:val="00936A53"/>
    <w:rsid w:val="00936C07"/>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270"/>
    <w:rsid w:val="00946945"/>
    <w:rsid w:val="00946CFD"/>
    <w:rsid w:val="00947713"/>
    <w:rsid w:val="009477A4"/>
    <w:rsid w:val="00947F3B"/>
    <w:rsid w:val="0095011B"/>
    <w:rsid w:val="009507EF"/>
    <w:rsid w:val="00950DE7"/>
    <w:rsid w:val="0095103E"/>
    <w:rsid w:val="00952130"/>
    <w:rsid w:val="009522A6"/>
    <w:rsid w:val="00952748"/>
    <w:rsid w:val="009528F9"/>
    <w:rsid w:val="00952FA6"/>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30A"/>
    <w:rsid w:val="00964919"/>
    <w:rsid w:val="009649F4"/>
    <w:rsid w:val="009652F7"/>
    <w:rsid w:val="0096548A"/>
    <w:rsid w:val="0096554B"/>
    <w:rsid w:val="0096584A"/>
    <w:rsid w:val="00965E60"/>
    <w:rsid w:val="00966D80"/>
    <w:rsid w:val="00966F0D"/>
    <w:rsid w:val="00970C11"/>
    <w:rsid w:val="00970C44"/>
    <w:rsid w:val="00971898"/>
    <w:rsid w:val="0097197A"/>
    <w:rsid w:val="00971C28"/>
    <w:rsid w:val="00971F08"/>
    <w:rsid w:val="00972180"/>
    <w:rsid w:val="0097256C"/>
    <w:rsid w:val="0097266D"/>
    <w:rsid w:val="00972A44"/>
    <w:rsid w:val="00973057"/>
    <w:rsid w:val="00974CDA"/>
    <w:rsid w:val="00975113"/>
    <w:rsid w:val="009753B1"/>
    <w:rsid w:val="0097603D"/>
    <w:rsid w:val="00976949"/>
    <w:rsid w:val="0097720D"/>
    <w:rsid w:val="0097741C"/>
    <w:rsid w:val="00977ACF"/>
    <w:rsid w:val="00980477"/>
    <w:rsid w:val="00980493"/>
    <w:rsid w:val="00980C74"/>
    <w:rsid w:val="00981623"/>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62FF"/>
    <w:rsid w:val="009A73C2"/>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C02B6"/>
    <w:rsid w:val="009C0A6B"/>
    <w:rsid w:val="009C0F3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0D6"/>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9F77BA"/>
    <w:rsid w:val="00A0064F"/>
    <w:rsid w:val="00A00A12"/>
    <w:rsid w:val="00A00B32"/>
    <w:rsid w:val="00A00CA6"/>
    <w:rsid w:val="00A0143D"/>
    <w:rsid w:val="00A01A68"/>
    <w:rsid w:val="00A01F05"/>
    <w:rsid w:val="00A02A43"/>
    <w:rsid w:val="00A02BAC"/>
    <w:rsid w:val="00A02E5D"/>
    <w:rsid w:val="00A02F75"/>
    <w:rsid w:val="00A031C7"/>
    <w:rsid w:val="00A037D6"/>
    <w:rsid w:val="00A03806"/>
    <w:rsid w:val="00A048A8"/>
    <w:rsid w:val="00A04CEE"/>
    <w:rsid w:val="00A04ED3"/>
    <w:rsid w:val="00A04F49"/>
    <w:rsid w:val="00A05951"/>
    <w:rsid w:val="00A05F2D"/>
    <w:rsid w:val="00A064CA"/>
    <w:rsid w:val="00A06B42"/>
    <w:rsid w:val="00A06C98"/>
    <w:rsid w:val="00A07372"/>
    <w:rsid w:val="00A076A8"/>
    <w:rsid w:val="00A1049F"/>
    <w:rsid w:val="00A10DB8"/>
    <w:rsid w:val="00A129D7"/>
    <w:rsid w:val="00A13090"/>
    <w:rsid w:val="00A13263"/>
    <w:rsid w:val="00A13645"/>
    <w:rsid w:val="00A13BD4"/>
    <w:rsid w:val="00A13E54"/>
    <w:rsid w:val="00A142A1"/>
    <w:rsid w:val="00A15202"/>
    <w:rsid w:val="00A1637F"/>
    <w:rsid w:val="00A17F63"/>
    <w:rsid w:val="00A2076E"/>
    <w:rsid w:val="00A208E1"/>
    <w:rsid w:val="00A20AA6"/>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043F"/>
    <w:rsid w:val="00A317DE"/>
    <w:rsid w:val="00A3373F"/>
    <w:rsid w:val="00A33B8B"/>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76E"/>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2F02"/>
    <w:rsid w:val="00A5394A"/>
    <w:rsid w:val="00A53AC2"/>
    <w:rsid w:val="00A53B7A"/>
    <w:rsid w:val="00A54AD4"/>
    <w:rsid w:val="00A555FF"/>
    <w:rsid w:val="00A56508"/>
    <w:rsid w:val="00A56A78"/>
    <w:rsid w:val="00A60117"/>
    <w:rsid w:val="00A602CF"/>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FAC"/>
    <w:rsid w:val="00A712B4"/>
    <w:rsid w:val="00A71B99"/>
    <w:rsid w:val="00A71C29"/>
    <w:rsid w:val="00A72BC9"/>
    <w:rsid w:val="00A739D0"/>
    <w:rsid w:val="00A73EA4"/>
    <w:rsid w:val="00A74666"/>
    <w:rsid w:val="00A7594A"/>
    <w:rsid w:val="00A75BED"/>
    <w:rsid w:val="00A761D4"/>
    <w:rsid w:val="00A764CE"/>
    <w:rsid w:val="00A775EC"/>
    <w:rsid w:val="00A7763F"/>
    <w:rsid w:val="00A7767A"/>
    <w:rsid w:val="00A77BEA"/>
    <w:rsid w:val="00A77EC4"/>
    <w:rsid w:val="00A77F2F"/>
    <w:rsid w:val="00A8022F"/>
    <w:rsid w:val="00A80441"/>
    <w:rsid w:val="00A805FD"/>
    <w:rsid w:val="00A815C2"/>
    <w:rsid w:val="00A81C2A"/>
    <w:rsid w:val="00A82228"/>
    <w:rsid w:val="00A832A1"/>
    <w:rsid w:val="00A833AA"/>
    <w:rsid w:val="00A83903"/>
    <w:rsid w:val="00A83E38"/>
    <w:rsid w:val="00A84B27"/>
    <w:rsid w:val="00A85053"/>
    <w:rsid w:val="00A85DC7"/>
    <w:rsid w:val="00A86000"/>
    <w:rsid w:val="00A8712F"/>
    <w:rsid w:val="00A90248"/>
    <w:rsid w:val="00A916C9"/>
    <w:rsid w:val="00A91C62"/>
    <w:rsid w:val="00A91E65"/>
    <w:rsid w:val="00A92879"/>
    <w:rsid w:val="00A92908"/>
    <w:rsid w:val="00A92C7A"/>
    <w:rsid w:val="00A93694"/>
    <w:rsid w:val="00A93A0D"/>
    <w:rsid w:val="00A93DC5"/>
    <w:rsid w:val="00A941EE"/>
    <w:rsid w:val="00A94311"/>
    <w:rsid w:val="00A9442A"/>
    <w:rsid w:val="00A94666"/>
    <w:rsid w:val="00A947D9"/>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7A9"/>
    <w:rsid w:val="00AA6944"/>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BA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6B6"/>
    <w:rsid w:val="00AD67FE"/>
    <w:rsid w:val="00AD6CE0"/>
    <w:rsid w:val="00AD746D"/>
    <w:rsid w:val="00AD74B4"/>
    <w:rsid w:val="00AE0307"/>
    <w:rsid w:val="00AE138B"/>
    <w:rsid w:val="00AE1904"/>
    <w:rsid w:val="00AE1AEC"/>
    <w:rsid w:val="00AE1C83"/>
    <w:rsid w:val="00AE27AC"/>
    <w:rsid w:val="00AE27E4"/>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6AA"/>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6377"/>
    <w:rsid w:val="00AF6C00"/>
    <w:rsid w:val="00AF6F2F"/>
    <w:rsid w:val="00AF7168"/>
    <w:rsid w:val="00B006FE"/>
    <w:rsid w:val="00B007CB"/>
    <w:rsid w:val="00B008BC"/>
    <w:rsid w:val="00B01A6F"/>
    <w:rsid w:val="00B01B96"/>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3BB"/>
    <w:rsid w:val="00B07ECB"/>
    <w:rsid w:val="00B100E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1718E"/>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759"/>
    <w:rsid w:val="00B40CF2"/>
    <w:rsid w:val="00B41888"/>
    <w:rsid w:val="00B418B7"/>
    <w:rsid w:val="00B4251E"/>
    <w:rsid w:val="00B42BDB"/>
    <w:rsid w:val="00B42EBC"/>
    <w:rsid w:val="00B44AA1"/>
    <w:rsid w:val="00B45189"/>
    <w:rsid w:val="00B453C3"/>
    <w:rsid w:val="00B45657"/>
    <w:rsid w:val="00B45A52"/>
    <w:rsid w:val="00B45C9B"/>
    <w:rsid w:val="00B46023"/>
    <w:rsid w:val="00B46175"/>
    <w:rsid w:val="00B464CE"/>
    <w:rsid w:val="00B500E0"/>
    <w:rsid w:val="00B5058B"/>
    <w:rsid w:val="00B51BBD"/>
    <w:rsid w:val="00B51EC9"/>
    <w:rsid w:val="00B521E6"/>
    <w:rsid w:val="00B54B9C"/>
    <w:rsid w:val="00B5592B"/>
    <w:rsid w:val="00B56296"/>
    <w:rsid w:val="00B5681C"/>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1C29"/>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52"/>
    <w:rsid w:val="00BB4D7A"/>
    <w:rsid w:val="00BB513B"/>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4AF3"/>
    <w:rsid w:val="00BD5146"/>
    <w:rsid w:val="00BD5F1A"/>
    <w:rsid w:val="00BD7264"/>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6FC"/>
    <w:rsid w:val="00BE7D1C"/>
    <w:rsid w:val="00BF0310"/>
    <w:rsid w:val="00BF0776"/>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3CE"/>
    <w:rsid w:val="00BF7445"/>
    <w:rsid w:val="00BF74C7"/>
    <w:rsid w:val="00C007C7"/>
    <w:rsid w:val="00C00C72"/>
    <w:rsid w:val="00C00C87"/>
    <w:rsid w:val="00C015F1"/>
    <w:rsid w:val="00C01BD7"/>
    <w:rsid w:val="00C01EC1"/>
    <w:rsid w:val="00C01F33"/>
    <w:rsid w:val="00C02B94"/>
    <w:rsid w:val="00C02CC6"/>
    <w:rsid w:val="00C0406F"/>
    <w:rsid w:val="00C040F7"/>
    <w:rsid w:val="00C041B0"/>
    <w:rsid w:val="00C044AB"/>
    <w:rsid w:val="00C04DDF"/>
    <w:rsid w:val="00C05706"/>
    <w:rsid w:val="00C057F4"/>
    <w:rsid w:val="00C058DC"/>
    <w:rsid w:val="00C05B5E"/>
    <w:rsid w:val="00C06923"/>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D25"/>
    <w:rsid w:val="00C16DE5"/>
    <w:rsid w:val="00C171B1"/>
    <w:rsid w:val="00C17D3F"/>
    <w:rsid w:val="00C210BC"/>
    <w:rsid w:val="00C21C9E"/>
    <w:rsid w:val="00C21CC5"/>
    <w:rsid w:val="00C22B67"/>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0B"/>
    <w:rsid w:val="00C42BAB"/>
    <w:rsid w:val="00C43F74"/>
    <w:rsid w:val="00C44BB4"/>
    <w:rsid w:val="00C4515C"/>
    <w:rsid w:val="00C45741"/>
    <w:rsid w:val="00C4667B"/>
    <w:rsid w:val="00C46A82"/>
    <w:rsid w:val="00C46CEC"/>
    <w:rsid w:val="00C4742E"/>
    <w:rsid w:val="00C4747B"/>
    <w:rsid w:val="00C51E5D"/>
    <w:rsid w:val="00C51FCF"/>
    <w:rsid w:val="00C5205C"/>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70613"/>
    <w:rsid w:val="00C70697"/>
    <w:rsid w:val="00C70F33"/>
    <w:rsid w:val="00C71AC5"/>
    <w:rsid w:val="00C721A3"/>
    <w:rsid w:val="00C723C0"/>
    <w:rsid w:val="00C72954"/>
    <w:rsid w:val="00C72CA7"/>
    <w:rsid w:val="00C72D24"/>
    <w:rsid w:val="00C72DB6"/>
    <w:rsid w:val="00C72EF4"/>
    <w:rsid w:val="00C73124"/>
    <w:rsid w:val="00C73486"/>
    <w:rsid w:val="00C743F0"/>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1653"/>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2E27"/>
    <w:rsid w:val="00C9318D"/>
    <w:rsid w:val="00C93278"/>
    <w:rsid w:val="00C9342D"/>
    <w:rsid w:val="00C93C4B"/>
    <w:rsid w:val="00C944AB"/>
    <w:rsid w:val="00C953B7"/>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A73C6"/>
    <w:rsid w:val="00CB003B"/>
    <w:rsid w:val="00CB0346"/>
    <w:rsid w:val="00CB0875"/>
    <w:rsid w:val="00CB08B3"/>
    <w:rsid w:val="00CB0C6A"/>
    <w:rsid w:val="00CB1153"/>
    <w:rsid w:val="00CB1678"/>
    <w:rsid w:val="00CB19C1"/>
    <w:rsid w:val="00CB1F63"/>
    <w:rsid w:val="00CB22FB"/>
    <w:rsid w:val="00CB33E8"/>
    <w:rsid w:val="00CB3423"/>
    <w:rsid w:val="00CB3EF1"/>
    <w:rsid w:val="00CB4BD2"/>
    <w:rsid w:val="00CB4F86"/>
    <w:rsid w:val="00CB532A"/>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23DD"/>
    <w:rsid w:val="00CC3EA0"/>
    <w:rsid w:val="00CC45AE"/>
    <w:rsid w:val="00CC5005"/>
    <w:rsid w:val="00CC5E23"/>
    <w:rsid w:val="00CC6C1A"/>
    <w:rsid w:val="00CC7B45"/>
    <w:rsid w:val="00CC7C09"/>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5C3F"/>
    <w:rsid w:val="00CE6832"/>
    <w:rsid w:val="00CE7561"/>
    <w:rsid w:val="00CE758E"/>
    <w:rsid w:val="00CE7612"/>
    <w:rsid w:val="00CE7799"/>
    <w:rsid w:val="00CF0237"/>
    <w:rsid w:val="00CF02AC"/>
    <w:rsid w:val="00CF0864"/>
    <w:rsid w:val="00CF0EBC"/>
    <w:rsid w:val="00CF125A"/>
    <w:rsid w:val="00CF1354"/>
    <w:rsid w:val="00CF14CB"/>
    <w:rsid w:val="00CF30C1"/>
    <w:rsid w:val="00CF3960"/>
    <w:rsid w:val="00CF3AF5"/>
    <w:rsid w:val="00CF3B1F"/>
    <w:rsid w:val="00CF3BF6"/>
    <w:rsid w:val="00CF3F11"/>
    <w:rsid w:val="00CF4B12"/>
    <w:rsid w:val="00CF5C2E"/>
    <w:rsid w:val="00CF6016"/>
    <w:rsid w:val="00CF625B"/>
    <w:rsid w:val="00CF638D"/>
    <w:rsid w:val="00CF687E"/>
    <w:rsid w:val="00CF6B7A"/>
    <w:rsid w:val="00CF7BB8"/>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16"/>
    <w:rsid w:val="00D07D97"/>
    <w:rsid w:val="00D10249"/>
    <w:rsid w:val="00D103BD"/>
    <w:rsid w:val="00D10409"/>
    <w:rsid w:val="00D10822"/>
    <w:rsid w:val="00D10F00"/>
    <w:rsid w:val="00D11461"/>
    <w:rsid w:val="00D115C3"/>
    <w:rsid w:val="00D11897"/>
    <w:rsid w:val="00D118D7"/>
    <w:rsid w:val="00D11EDD"/>
    <w:rsid w:val="00D12AF1"/>
    <w:rsid w:val="00D13135"/>
    <w:rsid w:val="00D1344F"/>
    <w:rsid w:val="00D13BC2"/>
    <w:rsid w:val="00D13E4E"/>
    <w:rsid w:val="00D147CA"/>
    <w:rsid w:val="00D14ABD"/>
    <w:rsid w:val="00D14D9A"/>
    <w:rsid w:val="00D153AA"/>
    <w:rsid w:val="00D159D4"/>
    <w:rsid w:val="00D17248"/>
    <w:rsid w:val="00D17396"/>
    <w:rsid w:val="00D1742A"/>
    <w:rsid w:val="00D2016F"/>
    <w:rsid w:val="00D2064C"/>
    <w:rsid w:val="00D207AD"/>
    <w:rsid w:val="00D208FD"/>
    <w:rsid w:val="00D2113B"/>
    <w:rsid w:val="00D21811"/>
    <w:rsid w:val="00D21987"/>
    <w:rsid w:val="00D2264C"/>
    <w:rsid w:val="00D22B49"/>
    <w:rsid w:val="00D23025"/>
    <w:rsid w:val="00D239A7"/>
    <w:rsid w:val="00D23A53"/>
    <w:rsid w:val="00D23F47"/>
    <w:rsid w:val="00D24952"/>
    <w:rsid w:val="00D24F35"/>
    <w:rsid w:val="00D25EBE"/>
    <w:rsid w:val="00D25FAD"/>
    <w:rsid w:val="00D267ED"/>
    <w:rsid w:val="00D26C4E"/>
    <w:rsid w:val="00D3005B"/>
    <w:rsid w:val="00D31468"/>
    <w:rsid w:val="00D31CC1"/>
    <w:rsid w:val="00D31E35"/>
    <w:rsid w:val="00D31FFB"/>
    <w:rsid w:val="00D325EA"/>
    <w:rsid w:val="00D334CA"/>
    <w:rsid w:val="00D35081"/>
    <w:rsid w:val="00D353AF"/>
    <w:rsid w:val="00D35643"/>
    <w:rsid w:val="00D35793"/>
    <w:rsid w:val="00D35B02"/>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8E9"/>
    <w:rsid w:val="00D61AF5"/>
    <w:rsid w:val="00D62054"/>
    <w:rsid w:val="00D625AB"/>
    <w:rsid w:val="00D62CD5"/>
    <w:rsid w:val="00D63B10"/>
    <w:rsid w:val="00D6435F"/>
    <w:rsid w:val="00D64BBB"/>
    <w:rsid w:val="00D64E41"/>
    <w:rsid w:val="00D652B5"/>
    <w:rsid w:val="00D657D5"/>
    <w:rsid w:val="00D65C42"/>
    <w:rsid w:val="00D65E6C"/>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16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D32"/>
    <w:rsid w:val="00D91F65"/>
    <w:rsid w:val="00D92982"/>
    <w:rsid w:val="00D935C6"/>
    <w:rsid w:val="00D93AAE"/>
    <w:rsid w:val="00D94613"/>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5F5F"/>
    <w:rsid w:val="00DA69D7"/>
    <w:rsid w:val="00DA6A0A"/>
    <w:rsid w:val="00DA6BEF"/>
    <w:rsid w:val="00DA6CA1"/>
    <w:rsid w:val="00DA73BC"/>
    <w:rsid w:val="00DA7CCC"/>
    <w:rsid w:val="00DB00F8"/>
    <w:rsid w:val="00DB0A9F"/>
    <w:rsid w:val="00DB1221"/>
    <w:rsid w:val="00DB377D"/>
    <w:rsid w:val="00DB40FB"/>
    <w:rsid w:val="00DB5719"/>
    <w:rsid w:val="00DB6768"/>
    <w:rsid w:val="00DB6E98"/>
    <w:rsid w:val="00DB72C9"/>
    <w:rsid w:val="00DC0564"/>
    <w:rsid w:val="00DC0E5D"/>
    <w:rsid w:val="00DC1887"/>
    <w:rsid w:val="00DC1964"/>
    <w:rsid w:val="00DC25CF"/>
    <w:rsid w:val="00DC28F0"/>
    <w:rsid w:val="00DC2D36"/>
    <w:rsid w:val="00DC3740"/>
    <w:rsid w:val="00DC376E"/>
    <w:rsid w:val="00DC37B1"/>
    <w:rsid w:val="00DC3F66"/>
    <w:rsid w:val="00DC4646"/>
    <w:rsid w:val="00DC478F"/>
    <w:rsid w:val="00DC47B7"/>
    <w:rsid w:val="00DC4F17"/>
    <w:rsid w:val="00DC53EF"/>
    <w:rsid w:val="00DC64B9"/>
    <w:rsid w:val="00DD0E49"/>
    <w:rsid w:val="00DD1B55"/>
    <w:rsid w:val="00DD1D27"/>
    <w:rsid w:val="00DD1EEE"/>
    <w:rsid w:val="00DD25DB"/>
    <w:rsid w:val="00DD2697"/>
    <w:rsid w:val="00DD408C"/>
    <w:rsid w:val="00DD42EC"/>
    <w:rsid w:val="00DD43DE"/>
    <w:rsid w:val="00DD4AB5"/>
    <w:rsid w:val="00DD4C1D"/>
    <w:rsid w:val="00DD4FD7"/>
    <w:rsid w:val="00DD5447"/>
    <w:rsid w:val="00DD5931"/>
    <w:rsid w:val="00DD6FC6"/>
    <w:rsid w:val="00DD740E"/>
    <w:rsid w:val="00DD7789"/>
    <w:rsid w:val="00DE0491"/>
    <w:rsid w:val="00DE0FDD"/>
    <w:rsid w:val="00DE0FE2"/>
    <w:rsid w:val="00DE23CB"/>
    <w:rsid w:val="00DE24E3"/>
    <w:rsid w:val="00DE27EC"/>
    <w:rsid w:val="00DE2D93"/>
    <w:rsid w:val="00DE3462"/>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2611"/>
    <w:rsid w:val="00DF306A"/>
    <w:rsid w:val="00DF37A0"/>
    <w:rsid w:val="00DF5470"/>
    <w:rsid w:val="00DF5C56"/>
    <w:rsid w:val="00DF61AD"/>
    <w:rsid w:val="00DF6439"/>
    <w:rsid w:val="00DF66DE"/>
    <w:rsid w:val="00DF6BC9"/>
    <w:rsid w:val="00DF6D60"/>
    <w:rsid w:val="00DF7938"/>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B20"/>
    <w:rsid w:val="00E12837"/>
    <w:rsid w:val="00E138EA"/>
    <w:rsid w:val="00E13983"/>
    <w:rsid w:val="00E147E5"/>
    <w:rsid w:val="00E1490F"/>
    <w:rsid w:val="00E14DEC"/>
    <w:rsid w:val="00E152F9"/>
    <w:rsid w:val="00E1577B"/>
    <w:rsid w:val="00E16446"/>
    <w:rsid w:val="00E1681F"/>
    <w:rsid w:val="00E16915"/>
    <w:rsid w:val="00E17182"/>
    <w:rsid w:val="00E17545"/>
    <w:rsid w:val="00E178A3"/>
    <w:rsid w:val="00E17FA2"/>
    <w:rsid w:val="00E20983"/>
    <w:rsid w:val="00E20CED"/>
    <w:rsid w:val="00E22147"/>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12"/>
    <w:rsid w:val="00E4258F"/>
    <w:rsid w:val="00E43359"/>
    <w:rsid w:val="00E446F1"/>
    <w:rsid w:val="00E46091"/>
    <w:rsid w:val="00E461C4"/>
    <w:rsid w:val="00E46886"/>
    <w:rsid w:val="00E46B1B"/>
    <w:rsid w:val="00E46B81"/>
    <w:rsid w:val="00E4773F"/>
    <w:rsid w:val="00E47AEF"/>
    <w:rsid w:val="00E50459"/>
    <w:rsid w:val="00E505DD"/>
    <w:rsid w:val="00E50DED"/>
    <w:rsid w:val="00E51480"/>
    <w:rsid w:val="00E5179D"/>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AED"/>
    <w:rsid w:val="00E71C80"/>
    <w:rsid w:val="00E71DF6"/>
    <w:rsid w:val="00E72A28"/>
    <w:rsid w:val="00E72B2A"/>
    <w:rsid w:val="00E72EFC"/>
    <w:rsid w:val="00E733C0"/>
    <w:rsid w:val="00E737F5"/>
    <w:rsid w:val="00E74C7B"/>
    <w:rsid w:val="00E75392"/>
    <w:rsid w:val="00E755B2"/>
    <w:rsid w:val="00E758EC"/>
    <w:rsid w:val="00E76259"/>
    <w:rsid w:val="00E772CE"/>
    <w:rsid w:val="00E774DB"/>
    <w:rsid w:val="00E77DE5"/>
    <w:rsid w:val="00E8007A"/>
    <w:rsid w:val="00E821D6"/>
    <w:rsid w:val="00E8233A"/>
    <w:rsid w:val="00E8234C"/>
    <w:rsid w:val="00E8248E"/>
    <w:rsid w:val="00E82F93"/>
    <w:rsid w:val="00E8385E"/>
    <w:rsid w:val="00E83AA9"/>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CA7"/>
    <w:rsid w:val="00E92DCB"/>
    <w:rsid w:val="00E93FFE"/>
    <w:rsid w:val="00E94A4B"/>
    <w:rsid w:val="00E94F8A"/>
    <w:rsid w:val="00E96A90"/>
    <w:rsid w:val="00E96EBF"/>
    <w:rsid w:val="00E96F47"/>
    <w:rsid w:val="00E97406"/>
    <w:rsid w:val="00E97845"/>
    <w:rsid w:val="00E97A81"/>
    <w:rsid w:val="00EA0A93"/>
    <w:rsid w:val="00EA145C"/>
    <w:rsid w:val="00EA172E"/>
    <w:rsid w:val="00EA1940"/>
    <w:rsid w:val="00EA33B1"/>
    <w:rsid w:val="00EA38AD"/>
    <w:rsid w:val="00EA4B49"/>
    <w:rsid w:val="00EA62C3"/>
    <w:rsid w:val="00EA6AC5"/>
    <w:rsid w:val="00EA6AE5"/>
    <w:rsid w:val="00EA7A41"/>
    <w:rsid w:val="00EA7D81"/>
    <w:rsid w:val="00EA7E1A"/>
    <w:rsid w:val="00EB05A0"/>
    <w:rsid w:val="00EB077B"/>
    <w:rsid w:val="00EB15F6"/>
    <w:rsid w:val="00EB2129"/>
    <w:rsid w:val="00EB2190"/>
    <w:rsid w:val="00EB3308"/>
    <w:rsid w:val="00EB38BB"/>
    <w:rsid w:val="00EB3CCA"/>
    <w:rsid w:val="00EB3F5E"/>
    <w:rsid w:val="00EB40A6"/>
    <w:rsid w:val="00EB46CC"/>
    <w:rsid w:val="00EB4EA2"/>
    <w:rsid w:val="00EB53CA"/>
    <w:rsid w:val="00EB54ED"/>
    <w:rsid w:val="00EB5636"/>
    <w:rsid w:val="00EB5B16"/>
    <w:rsid w:val="00EB6346"/>
    <w:rsid w:val="00EB671D"/>
    <w:rsid w:val="00EB7AC8"/>
    <w:rsid w:val="00EB7F26"/>
    <w:rsid w:val="00EC0FA9"/>
    <w:rsid w:val="00EC1933"/>
    <w:rsid w:val="00EC27C6"/>
    <w:rsid w:val="00EC353C"/>
    <w:rsid w:val="00EC3599"/>
    <w:rsid w:val="00EC3EC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F0F"/>
    <w:rsid w:val="00ED4F54"/>
    <w:rsid w:val="00ED4F9D"/>
    <w:rsid w:val="00ED576C"/>
    <w:rsid w:val="00ED5CAF"/>
    <w:rsid w:val="00ED6396"/>
    <w:rsid w:val="00ED6433"/>
    <w:rsid w:val="00ED67EE"/>
    <w:rsid w:val="00EE0A8F"/>
    <w:rsid w:val="00EE1309"/>
    <w:rsid w:val="00EE1E64"/>
    <w:rsid w:val="00EE1E92"/>
    <w:rsid w:val="00EE1EE2"/>
    <w:rsid w:val="00EE267E"/>
    <w:rsid w:val="00EE34A9"/>
    <w:rsid w:val="00EE392C"/>
    <w:rsid w:val="00EE4026"/>
    <w:rsid w:val="00EE49D4"/>
    <w:rsid w:val="00EE4B5E"/>
    <w:rsid w:val="00EE4DF7"/>
    <w:rsid w:val="00EE4E1C"/>
    <w:rsid w:val="00EE7913"/>
    <w:rsid w:val="00EE7C12"/>
    <w:rsid w:val="00EE7F85"/>
    <w:rsid w:val="00EF08AA"/>
    <w:rsid w:val="00EF18FE"/>
    <w:rsid w:val="00EF4BB5"/>
    <w:rsid w:val="00EF4DCB"/>
    <w:rsid w:val="00EF5787"/>
    <w:rsid w:val="00EF58ED"/>
    <w:rsid w:val="00EF60D0"/>
    <w:rsid w:val="00EF682C"/>
    <w:rsid w:val="00EF7479"/>
    <w:rsid w:val="00EF7711"/>
    <w:rsid w:val="00EF78A7"/>
    <w:rsid w:val="00EF795A"/>
    <w:rsid w:val="00F006B6"/>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19B3"/>
    <w:rsid w:val="00F120AE"/>
    <w:rsid w:val="00F12539"/>
    <w:rsid w:val="00F12BD7"/>
    <w:rsid w:val="00F13B91"/>
    <w:rsid w:val="00F13D59"/>
    <w:rsid w:val="00F15046"/>
    <w:rsid w:val="00F1528D"/>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4E82"/>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40ABA"/>
    <w:rsid w:val="00F40F0C"/>
    <w:rsid w:val="00F41441"/>
    <w:rsid w:val="00F41518"/>
    <w:rsid w:val="00F41E63"/>
    <w:rsid w:val="00F42123"/>
    <w:rsid w:val="00F429C3"/>
    <w:rsid w:val="00F4364C"/>
    <w:rsid w:val="00F43CF4"/>
    <w:rsid w:val="00F4489A"/>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AC3"/>
    <w:rsid w:val="00F6010D"/>
    <w:rsid w:val="00F607C5"/>
    <w:rsid w:val="00F609E2"/>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93C"/>
    <w:rsid w:val="00F66F87"/>
    <w:rsid w:val="00F6703D"/>
    <w:rsid w:val="00F67619"/>
    <w:rsid w:val="00F67748"/>
    <w:rsid w:val="00F67D30"/>
    <w:rsid w:val="00F67E02"/>
    <w:rsid w:val="00F67F53"/>
    <w:rsid w:val="00F70072"/>
    <w:rsid w:val="00F70196"/>
    <w:rsid w:val="00F7020E"/>
    <w:rsid w:val="00F703BE"/>
    <w:rsid w:val="00F70F3C"/>
    <w:rsid w:val="00F71F69"/>
    <w:rsid w:val="00F72052"/>
    <w:rsid w:val="00F72322"/>
    <w:rsid w:val="00F72B72"/>
    <w:rsid w:val="00F73345"/>
    <w:rsid w:val="00F73A00"/>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47B"/>
    <w:rsid w:val="00F82848"/>
    <w:rsid w:val="00F828D8"/>
    <w:rsid w:val="00F8312C"/>
    <w:rsid w:val="00F83510"/>
    <w:rsid w:val="00F83901"/>
    <w:rsid w:val="00F83EBD"/>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84E"/>
    <w:rsid w:val="00F94B97"/>
    <w:rsid w:val="00F95071"/>
    <w:rsid w:val="00F9552D"/>
    <w:rsid w:val="00F95537"/>
    <w:rsid w:val="00F95624"/>
    <w:rsid w:val="00F95761"/>
    <w:rsid w:val="00F95B15"/>
    <w:rsid w:val="00F96966"/>
    <w:rsid w:val="00F96985"/>
    <w:rsid w:val="00F975FC"/>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0C01"/>
    <w:rsid w:val="00FC1212"/>
    <w:rsid w:val="00FC129A"/>
    <w:rsid w:val="00FC160B"/>
    <w:rsid w:val="00FC183A"/>
    <w:rsid w:val="00FC29F5"/>
    <w:rsid w:val="00FC35B7"/>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4A2"/>
    <w:rsid w:val="00FD2562"/>
    <w:rsid w:val="00FD3445"/>
    <w:rsid w:val="00FD37F6"/>
    <w:rsid w:val="00FD3FB3"/>
    <w:rsid w:val="00FD4751"/>
    <w:rsid w:val="00FD47A3"/>
    <w:rsid w:val="00FD47ED"/>
    <w:rsid w:val="00FD5F15"/>
    <w:rsid w:val="00FD6650"/>
    <w:rsid w:val="00FD6A22"/>
    <w:rsid w:val="00FD6E8D"/>
    <w:rsid w:val="00FD6F04"/>
    <w:rsid w:val="00FD74DB"/>
    <w:rsid w:val="00FD7660"/>
    <w:rsid w:val="00FD79D2"/>
    <w:rsid w:val="00FD7A0E"/>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49A7"/>
    <w:rsid w:val="00FF5C91"/>
    <w:rsid w:val="00FF606A"/>
    <w:rsid w:val="00FF62AE"/>
    <w:rsid w:val="00FF6AB8"/>
    <w:rsid w:val="00FF6E8B"/>
    <w:rsid w:val="016E0891"/>
    <w:rsid w:val="020574F3"/>
    <w:rsid w:val="02848CE0"/>
    <w:rsid w:val="02D29105"/>
    <w:rsid w:val="0607814E"/>
    <w:rsid w:val="06D8B70F"/>
    <w:rsid w:val="072ECB2A"/>
    <w:rsid w:val="0A21EB72"/>
    <w:rsid w:val="0B062D98"/>
    <w:rsid w:val="0B524159"/>
    <w:rsid w:val="0CEE11BA"/>
    <w:rsid w:val="0EA4BF30"/>
    <w:rsid w:val="0EC4465E"/>
    <w:rsid w:val="0F6AFD6E"/>
    <w:rsid w:val="10F166ED"/>
    <w:rsid w:val="11004D12"/>
    <w:rsid w:val="11FEF9AE"/>
    <w:rsid w:val="120C6BF9"/>
    <w:rsid w:val="1220F33F"/>
    <w:rsid w:val="122CFD93"/>
    <w:rsid w:val="146B4843"/>
    <w:rsid w:val="1552D6E8"/>
    <w:rsid w:val="157FC32A"/>
    <w:rsid w:val="16D8BBFF"/>
    <w:rsid w:val="16F46462"/>
    <w:rsid w:val="1838B1E7"/>
    <w:rsid w:val="189686A1"/>
    <w:rsid w:val="19E5BD1F"/>
    <w:rsid w:val="1A1165EB"/>
    <w:rsid w:val="1A2440A0"/>
    <w:rsid w:val="1BE0B4A0"/>
    <w:rsid w:val="1C05A937"/>
    <w:rsid w:val="1EA7F36B"/>
    <w:rsid w:val="20445B56"/>
    <w:rsid w:val="210E95FE"/>
    <w:rsid w:val="22474B04"/>
    <w:rsid w:val="22BA2EC3"/>
    <w:rsid w:val="2353A483"/>
    <w:rsid w:val="23E67CDA"/>
    <w:rsid w:val="24CB478D"/>
    <w:rsid w:val="261E4E13"/>
    <w:rsid w:val="28EA70FE"/>
    <w:rsid w:val="295A2ECD"/>
    <w:rsid w:val="2AAC184B"/>
    <w:rsid w:val="2F17631C"/>
    <w:rsid w:val="3045607F"/>
    <w:rsid w:val="306E0C8F"/>
    <w:rsid w:val="330BD6E3"/>
    <w:rsid w:val="3648F031"/>
    <w:rsid w:val="3894BB86"/>
    <w:rsid w:val="3A031711"/>
    <w:rsid w:val="3A4AED2D"/>
    <w:rsid w:val="3AF0CEE7"/>
    <w:rsid w:val="3AF7E4AF"/>
    <w:rsid w:val="3E3288E3"/>
    <w:rsid w:val="3FA6E80F"/>
    <w:rsid w:val="3FAED595"/>
    <w:rsid w:val="3FE8ACC8"/>
    <w:rsid w:val="4089702B"/>
    <w:rsid w:val="426C3668"/>
    <w:rsid w:val="42974B1A"/>
    <w:rsid w:val="431796B6"/>
    <w:rsid w:val="4345E6B9"/>
    <w:rsid w:val="44D26AB2"/>
    <w:rsid w:val="45FD0716"/>
    <w:rsid w:val="471047D8"/>
    <w:rsid w:val="47A652A0"/>
    <w:rsid w:val="4A243A03"/>
    <w:rsid w:val="4A418D48"/>
    <w:rsid w:val="4AA4D8F6"/>
    <w:rsid w:val="4B16A57A"/>
    <w:rsid w:val="4BDB776C"/>
    <w:rsid w:val="4D3090FE"/>
    <w:rsid w:val="4D61B31C"/>
    <w:rsid w:val="4DA34FB8"/>
    <w:rsid w:val="4DDA97A5"/>
    <w:rsid w:val="4F7C5C53"/>
    <w:rsid w:val="50269420"/>
    <w:rsid w:val="50B72A1E"/>
    <w:rsid w:val="50CFB5E6"/>
    <w:rsid w:val="51CE5AC6"/>
    <w:rsid w:val="521327B0"/>
    <w:rsid w:val="55730518"/>
    <w:rsid w:val="58CA2989"/>
    <w:rsid w:val="59A39314"/>
    <w:rsid w:val="5A77969A"/>
    <w:rsid w:val="5B147294"/>
    <w:rsid w:val="5CC361EF"/>
    <w:rsid w:val="5CFFA20A"/>
    <w:rsid w:val="5D9D9AAC"/>
    <w:rsid w:val="5F4B07BD"/>
    <w:rsid w:val="5FFB02B1"/>
    <w:rsid w:val="62B4F16A"/>
    <w:rsid w:val="63197B16"/>
    <w:rsid w:val="63253813"/>
    <w:rsid w:val="6381FC17"/>
    <w:rsid w:val="66549968"/>
    <w:rsid w:val="67D1ACCF"/>
    <w:rsid w:val="68244409"/>
    <w:rsid w:val="683AF05E"/>
    <w:rsid w:val="685F9634"/>
    <w:rsid w:val="6C2F6603"/>
    <w:rsid w:val="6D68136A"/>
    <w:rsid w:val="6DBD1123"/>
    <w:rsid w:val="6DC3FCD2"/>
    <w:rsid w:val="6EA66E01"/>
    <w:rsid w:val="6EA78169"/>
    <w:rsid w:val="74F170D1"/>
    <w:rsid w:val="751E89E2"/>
    <w:rsid w:val="7668AC6B"/>
    <w:rsid w:val="76AB07A1"/>
    <w:rsid w:val="7722E30F"/>
    <w:rsid w:val="778288F5"/>
    <w:rsid w:val="78D20E92"/>
    <w:rsid w:val="7B00EE24"/>
    <w:rsid w:val="7C165BC4"/>
    <w:rsid w:val="7CCED298"/>
    <w:rsid w:val="7D9923BA"/>
    <w:rsid w:val="7DB11BBC"/>
    <w:rsid w:val="7DDA412B"/>
    <w:rsid w:val="7F4CEC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FFC1B5D6-32D5-4B49-A088-B3FB33A2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1"/>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2"/>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5AIRPNAIUNRU-1156379521-2963</_dlc_DocId>
    <_dlc_DocIdUrl xmlns="71c5aaf6-e6ce-465b-b873-5148d2a4c105">
      <Url>https://nokia.sharepoint.com/sites/c5g/e2earch/_layouts/15/DocIdRedir.aspx?ID=5AIRPNAIUNRU-1156379521-2963</Url>
      <Description>5AIRPNAIUNRU-1156379521-2963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customXml/itemProps4.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10</TotalTime>
  <Pages>3</Pages>
  <Words>1330</Words>
  <Characters>7582</Characters>
  <Application>Microsoft Office Word</Application>
  <DocSecurity>0</DocSecurity>
  <Lines>63</Lines>
  <Paragraphs>17</Paragraphs>
  <ScaleCrop>false</ScaleCrop>
  <Company>Ericsson</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172</cp:revision>
  <cp:lastPrinted>2021-10-21T10:07:00Z</cp:lastPrinted>
  <dcterms:created xsi:type="dcterms:W3CDTF">2022-06-20T10:31:00Z</dcterms:created>
  <dcterms:modified xsi:type="dcterms:W3CDTF">2022-08-09T06:12:00Z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7ccb5f60-74d5-4c01-80c2-bc779dfe34ab</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